
<file path=[Content_Types].xml><?xml version="1.0" encoding="utf-8"?>
<Types xmlns="http://schemas.openxmlformats.org/package/2006/content-types">
  <Default Extension="bin" ContentType="image/tif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C98CB" w14:textId="77777777" w:rsidR="00CC6FB9" w:rsidRDefault="00CC6FB9" w:rsidP="001D1D6E">
      <w:pPr>
        <w:pStyle w:val="ImageSpace"/>
        <w:spacing w:after="120" w:line="276" w:lineRule="auto"/>
        <w:outlineLvl w:val="0"/>
        <w:rPr>
          <w:b/>
          <w:sz w:val="22"/>
          <w:szCs w:val="22"/>
        </w:rPr>
      </w:pPr>
    </w:p>
    <w:p w14:paraId="3163B330" w14:textId="1D2B0EC0" w:rsidR="00995B95" w:rsidRPr="00E53E52" w:rsidRDefault="00BF2738" w:rsidP="001D1D6E">
      <w:pPr>
        <w:pStyle w:val="ImageSpace"/>
        <w:spacing w:after="120" w:line="276" w:lineRule="auto"/>
        <w:outlineLvl w:val="0"/>
        <w:rPr>
          <w:b/>
          <w:sz w:val="22"/>
          <w:szCs w:val="22"/>
        </w:rPr>
      </w:pPr>
      <w:r w:rsidRPr="00E53E52">
        <w:rPr>
          <w:b/>
          <w:sz w:val="22"/>
          <w:szCs w:val="22"/>
        </w:rPr>
        <w:t xml:space="preserve">FALL </w:t>
      </w:r>
      <w:r w:rsidR="00C33740" w:rsidRPr="00E53E52">
        <w:rPr>
          <w:b/>
          <w:sz w:val="22"/>
          <w:szCs w:val="22"/>
        </w:rPr>
        <w:t>20</w:t>
      </w:r>
      <w:r w:rsidR="00A42042" w:rsidRPr="00E53E52">
        <w:rPr>
          <w:b/>
          <w:sz w:val="22"/>
          <w:szCs w:val="22"/>
        </w:rPr>
        <w:t>1</w:t>
      </w:r>
      <w:r w:rsidR="00521658" w:rsidRPr="00E53E52">
        <w:rPr>
          <w:b/>
          <w:sz w:val="22"/>
          <w:szCs w:val="22"/>
        </w:rPr>
        <w:t>9</w:t>
      </w:r>
      <w:r w:rsidR="001843DF" w:rsidRPr="00E53E52">
        <w:rPr>
          <w:b/>
          <w:sz w:val="22"/>
          <w:szCs w:val="22"/>
        </w:rPr>
        <w:t xml:space="preserve"> UPDATE</w:t>
      </w:r>
    </w:p>
    <w:p w14:paraId="577641BC" w14:textId="356F6DD4" w:rsidR="001843DF" w:rsidRPr="00E53E52" w:rsidRDefault="000C2206" w:rsidP="001D1D6E">
      <w:pPr>
        <w:spacing w:after="120"/>
        <w:jc w:val="center"/>
        <w:outlineLvl w:val="0"/>
        <w:rPr>
          <w:rFonts w:ascii="Century Schoolbook" w:hAnsi="Century Schoolbook"/>
          <w:b/>
        </w:rPr>
      </w:pPr>
      <w:r w:rsidRPr="00E53E52">
        <w:rPr>
          <w:rFonts w:ascii="Century Schoolbook" w:hAnsi="Century Schoolbook"/>
          <w:b/>
        </w:rPr>
        <w:t>FORCED MIGRATION</w:t>
      </w:r>
      <w:r w:rsidR="001843DF" w:rsidRPr="00E53E52">
        <w:rPr>
          <w:rFonts w:ascii="Century Schoolbook" w:hAnsi="Century Schoolbook"/>
          <w:b/>
        </w:rPr>
        <w:t xml:space="preserve">: </w:t>
      </w:r>
      <w:r w:rsidRPr="00E53E52">
        <w:rPr>
          <w:rFonts w:ascii="Century Schoolbook" w:hAnsi="Century Schoolbook"/>
          <w:b/>
        </w:rPr>
        <w:t>LAW</w:t>
      </w:r>
      <w:r w:rsidR="001843DF" w:rsidRPr="00E53E52">
        <w:rPr>
          <w:rFonts w:ascii="Century Schoolbook" w:hAnsi="Century Schoolbook"/>
          <w:b/>
        </w:rPr>
        <w:t xml:space="preserve"> AND POLICY (</w:t>
      </w:r>
      <w:r w:rsidRPr="00E53E52">
        <w:rPr>
          <w:rFonts w:ascii="Century Schoolbook" w:hAnsi="Century Schoolbook"/>
          <w:b/>
        </w:rPr>
        <w:t>2</w:t>
      </w:r>
      <w:r w:rsidR="00BF2738" w:rsidRPr="00E53E52">
        <w:rPr>
          <w:rFonts w:ascii="Century Schoolbook" w:hAnsi="Century Schoolbook"/>
          <w:b/>
        </w:rPr>
        <w:t>d</w:t>
      </w:r>
      <w:r w:rsidR="001843DF" w:rsidRPr="00E53E52">
        <w:rPr>
          <w:rFonts w:ascii="Century Schoolbook" w:hAnsi="Century Schoolbook"/>
          <w:b/>
        </w:rPr>
        <w:t xml:space="preserve"> Edition)</w:t>
      </w:r>
    </w:p>
    <w:p w14:paraId="6EC4B497" w14:textId="17E1AA34" w:rsidR="001843DF" w:rsidRPr="00E53E52" w:rsidRDefault="000C2206" w:rsidP="001D1D6E">
      <w:pPr>
        <w:spacing w:after="120"/>
        <w:jc w:val="center"/>
        <w:rPr>
          <w:rFonts w:ascii="Century Schoolbook" w:hAnsi="Century Schoolbook"/>
          <w:b/>
        </w:rPr>
      </w:pPr>
      <w:r w:rsidRPr="00E53E52">
        <w:rPr>
          <w:rFonts w:ascii="Century Schoolbook" w:hAnsi="Century Schoolbook"/>
          <w:b/>
        </w:rPr>
        <w:t xml:space="preserve">Martin, </w:t>
      </w:r>
      <w:r w:rsidR="001843DF" w:rsidRPr="00E53E52">
        <w:rPr>
          <w:rFonts w:ascii="Century Schoolbook" w:hAnsi="Century Schoolbook"/>
          <w:b/>
        </w:rPr>
        <w:t>Aleinikoff, Motomura, Fullerton</w:t>
      </w:r>
      <w:r w:rsidR="00354B4C" w:rsidRPr="00E53E52">
        <w:rPr>
          <w:rFonts w:ascii="Century Schoolbook" w:hAnsi="Century Schoolbook"/>
          <w:b/>
        </w:rPr>
        <w:t>,</w:t>
      </w:r>
      <w:r w:rsidR="005722E9" w:rsidRPr="00E53E52">
        <w:rPr>
          <w:rFonts w:ascii="Century Schoolbook" w:hAnsi="Century Schoolbook"/>
          <w:b/>
        </w:rPr>
        <w:t xml:space="preserve"> Stumpf</w:t>
      </w:r>
      <w:r w:rsidR="00354B4C" w:rsidRPr="00E53E52">
        <w:rPr>
          <w:rFonts w:ascii="Century Schoolbook" w:hAnsi="Century Schoolbook"/>
          <w:b/>
        </w:rPr>
        <w:t>, Gulasekaram</w:t>
      </w:r>
    </w:p>
    <w:p w14:paraId="0B510942" w14:textId="77777777" w:rsidR="00C42262" w:rsidRPr="00E53E52" w:rsidRDefault="00C42262" w:rsidP="001D1D6E">
      <w:pPr>
        <w:pStyle w:val="BodyText"/>
        <w:widowControl/>
        <w:spacing w:after="120"/>
        <w:ind w:firstLine="720"/>
        <w:rPr>
          <w:rFonts w:ascii="Century Schoolbook" w:hAnsi="Century Schoolbook"/>
        </w:rPr>
      </w:pPr>
    </w:p>
    <w:p w14:paraId="3EDCDAF4" w14:textId="260BCDD6" w:rsidR="00C14BE0" w:rsidRPr="00E53E52" w:rsidRDefault="001B109C" w:rsidP="006C4D28">
      <w:pPr>
        <w:pStyle w:val="BodyText"/>
        <w:widowControl/>
        <w:spacing w:after="120"/>
        <w:ind w:firstLine="720"/>
        <w:rPr>
          <w:rFonts w:ascii="Century Schoolbook" w:hAnsi="Century Schoolbook"/>
        </w:rPr>
      </w:pPr>
      <w:r w:rsidRPr="00E53E52">
        <w:rPr>
          <w:rFonts w:ascii="Century Schoolbook" w:hAnsi="Century Schoolbook"/>
        </w:rPr>
        <w:t xml:space="preserve">This Update includes materials on major developments that have occurred since </w:t>
      </w:r>
      <w:r w:rsidR="000C2206" w:rsidRPr="00E53E52">
        <w:rPr>
          <w:rFonts w:ascii="Century Schoolbook" w:hAnsi="Century Schoolbook"/>
          <w:i/>
        </w:rPr>
        <w:t>Forced Migration</w:t>
      </w:r>
      <w:r w:rsidRPr="00E53E52">
        <w:rPr>
          <w:rFonts w:ascii="Century Schoolbook" w:hAnsi="Century Schoolbook"/>
          <w:i/>
        </w:rPr>
        <w:t xml:space="preserve">: </w:t>
      </w:r>
      <w:r w:rsidR="000C2206" w:rsidRPr="00E53E52">
        <w:rPr>
          <w:rFonts w:ascii="Century Schoolbook" w:hAnsi="Century Schoolbook"/>
          <w:i/>
        </w:rPr>
        <w:t>Law</w:t>
      </w:r>
      <w:r w:rsidRPr="00E53E52">
        <w:rPr>
          <w:rFonts w:ascii="Century Schoolbook" w:hAnsi="Century Schoolbook"/>
          <w:i/>
        </w:rPr>
        <w:t xml:space="preserve"> and Policy</w:t>
      </w:r>
      <w:r w:rsidRPr="00E53E52">
        <w:rPr>
          <w:rFonts w:ascii="Century Schoolbook" w:hAnsi="Century Schoolbook"/>
        </w:rPr>
        <w:t xml:space="preserve"> went to press in </w:t>
      </w:r>
      <w:r w:rsidR="000C2206" w:rsidRPr="00E53E52">
        <w:rPr>
          <w:rFonts w:ascii="Century Schoolbook" w:hAnsi="Century Schoolbook"/>
        </w:rPr>
        <w:t xml:space="preserve">summer </w:t>
      </w:r>
      <w:r w:rsidRPr="00E53E52">
        <w:rPr>
          <w:rFonts w:ascii="Century Schoolbook" w:hAnsi="Century Schoolbook"/>
        </w:rPr>
        <w:t>201</w:t>
      </w:r>
      <w:r w:rsidR="000C2206" w:rsidRPr="00E53E52">
        <w:rPr>
          <w:rFonts w:ascii="Century Schoolbook" w:hAnsi="Century Schoolbook"/>
        </w:rPr>
        <w:t>3</w:t>
      </w:r>
      <w:r w:rsidR="00027B0C" w:rsidRPr="00E53E52">
        <w:rPr>
          <w:rFonts w:ascii="Century Schoolbook" w:hAnsi="Century Schoolbook"/>
        </w:rPr>
        <w:t xml:space="preserve">. </w:t>
      </w:r>
      <w:r w:rsidRPr="00E53E52">
        <w:rPr>
          <w:rFonts w:ascii="Century Schoolbook" w:hAnsi="Century Schoolbook"/>
        </w:rPr>
        <w:t>We have limited ourselves to developments that may affect teaching from the casebook, and not included the sort of detailed updates that might be more appropriate for a treatise or practitioner</w:t>
      </w:r>
      <w:r w:rsidR="00C909C4" w:rsidRPr="00E53E52">
        <w:rPr>
          <w:rFonts w:ascii="Century Schoolbook" w:hAnsi="Century Schoolbook"/>
        </w:rPr>
        <w:t>’</w:t>
      </w:r>
      <w:r w:rsidRPr="00E53E52">
        <w:rPr>
          <w:rFonts w:ascii="Century Schoolbook" w:hAnsi="Century Schoolbook"/>
        </w:rPr>
        <w:t>s guide</w:t>
      </w:r>
      <w:r w:rsidR="00027B0C" w:rsidRPr="00E53E52">
        <w:rPr>
          <w:rFonts w:ascii="Century Schoolbook" w:hAnsi="Century Schoolbook"/>
        </w:rPr>
        <w:t xml:space="preserve">. </w:t>
      </w:r>
    </w:p>
    <w:p w14:paraId="39C8A266" w14:textId="77777777" w:rsidR="00F60894" w:rsidRPr="00E53E52" w:rsidRDefault="00F60894" w:rsidP="006C4D28">
      <w:pPr>
        <w:pStyle w:val="BodyText"/>
        <w:widowControl/>
        <w:spacing w:after="120"/>
        <w:ind w:firstLine="720"/>
        <w:rPr>
          <w:rFonts w:ascii="Century Schoolbook" w:hAnsi="Century Schoolbook"/>
        </w:rPr>
      </w:pPr>
      <w:r w:rsidRPr="00E53E52">
        <w:rPr>
          <w:rFonts w:ascii="Century Schoolbook" w:hAnsi="Century Schoolbook"/>
        </w:rPr>
        <w:t>We have provided these materials in Word format, so that individual instructors, if they wish, can select or further edit what will be useful, given the coverage in their courses</w:t>
      </w:r>
      <w:r w:rsidR="00027B0C" w:rsidRPr="00E53E52">
        <w:rPr>
          <w:rFonts w:ascii="Century Schoolbook" w:hAnsi="Century Schoolbook"/>
        </w:rPr>
        <w:t xml:space="preserve">. </w:t>
      </w:r>
      <w:r w:rsidRPr="00E53E52">
        <w:rPr>
          <w:rFonts w:ascii="Century Schoolbook" w:hAnsi="Century Schoolbook"/>
        </w:rPr>
        <w:t>Users of the casebook have permission to reproduce these materials for instructional purposes in their own classes</w:t>
      </w:r>
      <w:r w:rsidR="00027B0C" w:rsidRPr="00E53E52">
        <w:rPr>
          <w:rFonts w:ascii="Century Schoolbook" w:hAnsi="Century Schoolbook"/>
        </w:rPr>
        <w:t xml:space="preserve">. </w:t>
      </w:r>
    </w:p>
    <w:p w14:paraId="73462205" w14:textId="474B472F" w:rsidR="005722E9" w:rsidRPr="00E53E52" w:rsidRDefault="00E4111D" w:rsidP="001D1D6E">
      <w:pPr>
        <w:pStyle w:val="BodyText"/>
        <w:widowControl/>
        <w:spacing w:after="120"/>
        <w:ind w:left="5040" w:firstLine="0"/>
        <w:jc w:val="left"/>
        <w:rPr>
          <w:rFonts w:ascii="Century Schoolbook" w:hAnsi="Century Schoolbook"/>
        </w:rPr>
      </w:pPr>
      <w:r w:rsidRPr="00E53E52">
        <w:rPr>
          <w:rFonts w:ascii="Century Schoolbook" w:hAnsi="Century Schoolbook"/>
        </w:rPr>
        <w:t>Hiroshi Motomura</w:t>
      </w:r>
      <w:r w:rsidRPr="00E53E52">
        <w:rPr>
          <w:rFonts w:ascii="Century Schoolbook" w:hAnsi="Century Schoolbook"/>
        </w:rPr>
        <w:br/>
        <w:t>Maryellen Fullerton</w:t>
      </w:r>
      <w:r w:rsidR="00570E89" w:rsidRPr="00E53E52">
        <w:rPr>
          <w:rFonts w:ascii="Century Schoolbook" w:hAnsi="Century Schoolbook"/>
        </w:rPr>
        <w:br/>
      </w:r>
      <w:r w:rsidR="005722E9" w:rsidRPr="00E53E52">
        <w:rPr>
          <w:rFonts w:ascii="Century Schoolbook" w:hAnsi="Century Schoolbook"/>
        </w:rPr>
        <w:t>Juliet Stumpf</w:t>
      </w:r>
      <w:r w:rsidR="00354B4C" w:rsidRPr="00E53E52">
        <w:rPr>
          <w:rFonts w:ascii="Century Schoolbook" w:hAnsi="Century Schoolbook"/>
        </w:rPr>
        <w:br/>
        <w:t>Pratheepan Gulasekaram</w:t>
      </w:r>
    </w:p>
    <w:p w14:paraId="1D2AAC6F" w14:textId="54BA39D7" w:rsidR="00E4111D" w:rsidRPr="00E53E52" w:rsidRDefault="00C33740" w:rsidP="001D1D6E">
      <w:pPr>
        <w:pStyle w:val="BodyText"/>
        <w:widowControl/>
        <w:spacing w:after="120"/>
        <w:ind w:left="5040" w:firstLine="0"/>
        <w:jc w:val="left"/>
        <w:rPr>
          <w:rFonts w:ascii="Century Schoolbook" w:hAnsi="Century Schoolbook"/>
        </w:rPr>
      </w:pPr>
      <w:r w:rsidRPr="00E53E52">
        <w:rPr>
          <w:rFonts w:ascii="Century Schoolbook" w:hAnsi="Century Schoolbook"/>
        </w:rPr>
        <w:t>August</w:t>
      </w:r>
      <w:r w:rsidR="00916518" w:rsidRPr="00E53E52">
        <w:rPr>
          <w:rFonts w:ascii="Century Schoolbook" w:hAnsi="Century Schoolbook"/>
        </w:rPr>
        <w:t xml:space="preserve"> </w:t>
      </w:r>
      <w:r w:rsidR="00E4111D" w:rsidRPr="00E53E52">
        <w:rPr>
          <w:rFonts w:ascii="Century Schoolbook" w:hAnsi="Century Schoolbook"/>
        </w:rPr>
        <w:t>201</w:t>
      </w:r>
      <w:r w:rsidR="00BF2738" w:rsidRPr="00E53E52">
        <w:rPr>
          <w:rFonts w:ascii="Century Schoolbook" w:hAnsi="Century Schoolbook"/>
        </w:rPr>
        <w:t>8</w:t>
      </w:r>
    </w:p>
    <w:p w14:paraId="0925D639" w14:textId="77777777" w:rsidR="003B7660" w:rsidRPr="00E53E52" w:rsidRDefault="003B7660" w:rsidP="001D1D6E">
      <w:pPr>
        <w:spacing w:after="120"/>
        <w:rPr>
          <w:rFonts w:ascii="Century Schoolbook" w:hAnsi="Century Schoolbook"/>
          <w:b/>
          <w:caps/>
        </w:rPr>
      </w:pPr>
      <w:r w:rsidRPr="00E53E52">
        <w:rPr>
          <w:rFonts w:ascii="Century Schoolbook" w:hAnsi="Century Schoolbook"/>
          <w:b/>
          <w:caps/>
        </w:rPr>
        <w:br w:type="page"/>
      </w:r>
    </w:p>
    <w:p w14:paraId="1CC044A8" w14:textId="76CD37E2" w:rsidR="003F248C" w:rsidRPr="00E53E52" w:rsidRDefault="003F248C" w:rsidP="001D1D6E">
      <w:pPr>
        <w:spacing w:after="120"/>
        <w:jc w:val="center"/>
        <w:outlineLvl w:val="0"/>
        <w:rPr>
          <w:rFonts w:ascii="Century Schoolbook" w:hAnsi="Century Schoolbook"/>
          <w:b/>
          <w:caps/>
        </w:rPr>
      </w:pPr>
      <w:r w:rsidRPr="00E53E52">
        <w:rPr>
          <w:rFonts w:ascii="Century Schoolbook" w:hAnsi="Century Schoolbook"/>
          <w:b/>
          <w:caps/>
        </w:rPr>
        <w:lastRenderedPageBreak/>
        <w:t xml:space="preserve">chapter </w:t>
      </w:r>
      <w:r w:rsidR="004B5BFE" w:rsidRPr="00E53E52">
        <w:rPr>
          <w:rFonts w:ascii="Century Schoolbook" w:hAnsi="Century Schoolbook"/>
          <w:b/>
          <w:caps/>
        </w:rPr>
        <w:t>ONE</w:t>
      </w:r>
    </w:p>
    <w:p w14:paraId="17169A6E" w14:textId="77777777" w:rsidR="00732527" w:rsidRPr="00E53E52" w:rsidRDefault="004B5BFE" w:rsidP="001D1D6E">
      <w:pPr>
        <w:spacing w:after="120"/>
        <w:jc w:val="center"/>
        <w:rPr>
          <w:rFonts w:ascii="Century Schoolbook" w:hAnsi="Century Schoolbook"/>
          <w:b/>
          <w:caps/>
        </w:rPr>
      </w:pPr>
      <w:r w:rsidRPr="00E53E52">
        <w:rPr>
          <w:rFonts w:ascii="Century Schoolbook" w:hAnsi="Century Schoolbook"/>
          <w:b/>
          <w:caps/>
        </w:rPr>
        <w:t>FORCED MIGRATION: CONCEPT, HISTORY, AND INSTITUTIONS</w:t>
      </w:r>
    </w:p>
    <w:p w14:paraId="00EBCE50" w14:textId="77777777" w:rsidR="009627AF" w:rsidRPr="00E53E52" w:rsidRDefault="004B5BFE" w:rsidP="001D1D6E">
      <w:pPr>
        <w:spacing w:after="120"/>
        <w:rPr>
          <w:rFonts w:ascii="Century Schoolbook" w:hAnsi="Century Schoolbook"/>
          <w:b/>
        </w:rPr>
      </w:pPr>
      <w:r w:rsidRPr="00E53E52">
        <w:rPr>
          <w:rFonts w:ascii="Century Schoolbook" w:hAnsi="Century Schoolbook"/>
          <w:caps/>
        </w:rPr>
        <w:t xml:space="preserve"> </w:t>
      </w:r>
      <w:r w:rsidR="009627AF" w:rsidRPr="00E53E52">
        <w:rPr>
          <w:rFonts w:ascii="Century Schoolbook" w:hAnsi="Century Schoolbook"/>
          <w:b/>
        </w:rPr>
        <w:t>p. 21, after Figure 1.3, add:</w:t>
      </w:r>
    </w:p>
    <w:p w14:paraId="606CC08E" w14:textId="52A6C7D3" w:rsidR="006A71ED" w:rsidRPr="00E53E52" w:rsidRDefault="009627AF" w:rsidP="006C4D28">
      <w:pPr>
        <w:spacing w:after="120"/>
        <w:ind w:firstLine="720"/>
        <w:jc w:val="both"/>
        <w:rPr>
          <w:rFonts w:ascii="Century Schoolbook" w:hAnsi="Century Schoolbook"/>
        </w:rPr>
      </w:pPr>
      <w:r w:rsidRPr="00E53E52">
        <w:rPr>
          <w:rFonts w:ascii="Century Schoolbook" w:hAnsi="Century Schoolbook"/>
        </w:rPr>
        <w:t xml:space="preserve">UNHCR reported that </w:t>
      </w:r>
      <w:r w:rsidR="00A573CF" w:rsidRPr="00E53E52">
        <w:rPr>
          <w:rFonts w:ascii="Century Schoolbook" w:hAnsi="Century Schoolbook"/>
        </w:rPr>
        <w:t>1</w:t>
      </w:r>
      <w:r w:rsidR="006C3C3B" w:rsidRPr="00E53E52">
        <w:rPr>
          <w:rFonts w:ascii="Century Schoolbook" w:hAnsi="Century Schoolbook"/>
        </w:rPr>
        <w:t>0</w:t>
      </w:r>
      <w:r w:rsidR="00A573CF" w:rsidRPr="00E53E52">
        <w:rPr>
          <w:rFonts w:ascii="Century Schoolbook" w:hAnsi="Century Schoolbook"/>
        </w:rPr>
        <w:t>.4</w:t>
      </w:r>
      <w:r w:rsidRPr="00E53E52">
        <w:rPr>
          <w:rFonts w:ascii="Century Schoolbook" w:hAnsi="Century Schoolbook"/>
        </w:rPr>
        <w:t xml:space="preserve"> million individuals were newly displaced based on persecution and conflict in 201</w:t>
      </w:r>
      <w:r w:rsidR="007D6289" w:rsidRPr="00E53E52">
        <w:rPr>
          <w:rFonts w:ascii="Century Schoolbook" w:hAnsi="Century Schoolbook"/>
        </w:rPr>
        <w:t>6</w:t>
      </w:r>
      <w:r w:rsidR="00027B0C" w:rsidRPr="00E53E52">
        <w:rPr>
          <w:rFonts w:ascii="Century Schoolbook" w:hAnsi="Century Schoolbook"/>
        </w:rPr>
        <w:t xml:space="preserve">. </w:t>
      </w:r>
      <w:r w:rsidRPr="00E53E52">
        <w:rPr>
          <w:rFonts w:ascii="Century Schoolbook" w:hAnsi="Century Schoolbook"/>
        </w:rPr>
        <w:t xml:space="preserve">This included </w:t>
      </w:r>
      <w:r w:rsidR="007D6289" w:rsidRPr="00E53E52">
        <w:rPr>
          <w:rFonts w:ascii="Century Schoolbook" w:hAnsi="Century Schoolbook"/>
        </w:rPr>
        <w:t>6.9</w:t>
      </w:r>
      <w:r w:rsidRPr="00E53E52">
        <w:rPr>
          <w:rFonts w:ascii="Century Schoolbook" w:hAnsi="Century Schoolbook"/>
        </w:rPr>
        <w:t xml:space="preserve"> million new internally displaced persons</w:t>
      </w:r>
      <w:r w:rsidR="00C546AF" w:rsidRPr="00E53E52">
        <w:rPr>
          <w:rFonts w:ascii="Century Schoolbook" w:hAnsi="Century Schoolbook"/>
        </w:rPr>
        <w:t xml:space="preserve">, and </w:t>
      </w:r>
      <w:r w:rsidR="00EF784A" w:rsidRPr="00E53E52">
        <w:rPr>
          <w:rFonts w:ascii="Century Schoolbook" w:hAnsi="Century Schoolbook"/>
        </w:rPr>
        <w:t>3.4</w:t>
      </w:r>
      <w:r w:rsidR="00C546AF" w:rsidRPr="00E53E52">
        <w:rPr>
          <w:rFonts w:ascii="Century Schoolbook" w:hAnsi="Century Schoolbook"/>
        </w:rPr>
        <w:t xml:space="preserve"> million new </w:t>
      </w:r>
      <w:r w:rsidR="00EF784A" w:rsidRPr="00E53E52">
        <w:rPr>
          <w:rFonts w:ascii="Century Schoolbook" w:hAnsi="Century Schoolbook"/>
        </w:rPr>
        <w:t xml:space="preserve">refugees and </w:t>
      </w:r>
      <w:r w:rsidR="00C546AF" w:rsidRPr="00E53E52">
        <w:rPr>
          <w:rFonts w:ascii="Century Schoolbook" w:hAnsi="Century Schoolbook"/>
        </w:rPr>
        <w:t>asylum seekers</w:t>
      </w:r>
      <w:r w:rsidR="00027B0C" w:rsidRPr="00E53E52">
        <w:rPr>
          <w:rFonts w:ascii="Century Schoolbook" w:hAnsi="Century Schoolbook"/>
        </w:rPr>
        <w:t xml:space="preserve">. </w:t>
      </w:r>
    </w:p>
    <w:p w14:paraId="71567228" w14:textId="7AEFCD02" w:rsidR="000B5B84" w:rsidRPr="00E53E52" w:rsidRDefault="009627AF" w:rsidP="006C4D28">
      <w:pPr>
        <w:spacing w:after="120"/>
        <w:ind w:firstLine="720"/>
        <w:jc w:val="both"/>
        <w:rPr>
          <w:rFonts w:ascii="Century Schoolbook" w:hAnsi="Century Schoolbook"/>
        </w:rPr>
      </w:pPr>
      <w:r w:rsidRPr="00E53E52">
        <w:rPr>
          <w:rFonts w:ascii="Century Schoolbook" w:hAnsi="Century Schoolbook"/>
        </w:rPr>
        <w:t>According to UNHCR the total number of forced migrants worldwide in 201</w:t>
      </w:r>
      <w:r w:rsidR="007E0E34" w:rsidRPr="00E53E52">
        <w:rPr>
          <w:rFonts w:ascii="Century Schoolbook" w:hAnsi="Century Schoolbook"/>
        </w:rPr>
        <w:t>6</w:t>
      </w:r>
      <w:r w:rsidRPr="00E53E52">
        <w:rPr>
          <w:rFonts w:ascii="Century Schoolbook" w:hAnsi="Century Schoolbook"/>
        </w:rPr>
        <w:t xml:space="preserve"> was </w:t>
      </w:r>
      <w:r w:rsidR="00AF6E37" w:rsidRPr="00E53E52">
        <w:rPr>
          <w:rFonts w:ascii="Century Schoolbook" w:hAnsi="Century Schoolbook"/>
        </w:rPr>
        <w:t>65.</w:t>
      </w:r>
      <w:r w:rsidR="00517E9A" w:rsidRPr="00E53E52">
        <w:rPr>
          <w:rFonts w:ascii="Century Schoolbook" w:hAnsi="Century Schoolbook"/>
        </w:rPr>
        <w:t>6</w:t>
      </w:r>
      <w:r w:rsidRPr="00E53E52">
        <w:rPr>
          <w:rFonts w:ascii="Century Schoolbook" w:hAnsi="Century Schoolbook"/>
        </w:rPr>
        <w:t xml:space="preserve"> million</w:t>
      </w:r>
      <w:r w:rsidR="00517E9A" w:rsidRPr="00E53E52">
        <w:rPr>
          <w:rFonts w:ascii="Century Schoolbook" w:hAnsi="Century Schoolbook"/>
        </w:rPr>
        <w:t>.</w:t>
      </w:r>
      <w:r w:rsidR="00027B0C" w:rsidRPr="00E53E52">
        <w:rPr>
          <w:rFonts w:ascii="Century Schoolbook" w:hAnsi="Century Schoolbook"/>
        </w:rPr>
        <w:t xml:space="preserve"> </w:t>
      </w:r>
      <w:r w:rsidRPr="00E53E52">
        <w:rPr>
          <w:rFonts w:ascii="Century Schoolbook" w:hAnsi="Century Schoolbook"/>
        </w:rPr>
        <w:t>Th</w:t>
      </w:r>
      <w:r w:rsidR="006A71ED" w:rsidRPr="00E53E52">
        <w:rPr>
          <w:rFonts w:ascii="Century Schoolbook" w:hAnsi="Century Schoolbook"/>
        </w:rPr>
        <w:t xml:space="preserve">e magnitude of the scope </w:t>
      </w:r>
      <w:r w:rsidR="00B07BAF" w:rsidRPr="00E53E52">
        <w:rPr>
          <w:rFonts w:ascii="Century Schoolbook" w:hAnsi="Century Schoolbook"/>
        </w:rPr>
        <w:t>can be seen in each category of forced displacement:</w:t>
      </w:r>
      <w:r w:rsidR="00626EDD" w:rsidRPr="00E53E52">
        <w:rPr>
          <w:rFonts w:ascii="Century Schoolbook" w:hAnsi="Century Schoolbook"/>
        </w:rPr>
        <w:t xml:space="preserve"> </w:t>
      </w:r>
      <w:r w:rsidR="00B07BAF" w:rsidRPr="00E53E52">
        <w:rPr>
          <w:rFonts w:ascii="Century Schoolbook" w:hAnsi="Century Schoolbook"/>
        </w:rPr>
        <w:t>2</w:t>
      </w:r>
      <w:r w:rsidR="00517E9A" w:rsidRPr="00E53E52">
        <w:rPr>
          <w:rFonts w:ascii="Century Schoolbook" w:hAnsi="Century Schoolbook"/>
        </w:rPr>
        <w:t>2</w:t>
      </w:r>
      <w:r w:rsidR="00B07BAF" w:rsidRPr="00E53E52">
        <w:rPr>
          <w:rFonts w:ascii="Century Schoolbook" w:hAnsi="Century Schoolbook"/>
        </w:rPr>
        <w:t>.</w:t>
      </w:r>
      <w:r w:rsidR="00517E9A" w:rsidRPr="00E53E52">
        <w:rPr>
          <w:rFonts w:ascii="Century Schoolbook" w:hAnsi="Century Schoolbook"/>
        </w:rPr>
        <w:t>5</w:t>
      </w:r>
      <w:r w:rsidR="00B07BAF" w:rsidRPr="00E53E52">
        <w:rPr>
          <w:rFonts w:ascii="Century Schoolbook" w:hAnsi="Century Schoolbook"/>
        </w:rPr>
        <w:t xml:space="preserve"> </w:t>
      </w:r>
      <w:r w:rsidRPr="00E53E52">
        <w:rPr>
          <w:rFonts w:ascii="Century Schoolbook" w:hAnsi="Century Schoolbook"/>
        </w:rPr>
        <w:t xml:space="preserve">million refugees, </w:t>
      </w:r>
      <w:r w:rsidR="00F52500" w:rsidRPr="00E53E52">
        <w:rPr>
          <w:rFonts w:ascii="Century Schoolbook" w:hAnsi="Century Schoolbook"/>
        </w:rPr>
        <w:t>40.</w:t>
      </w:r>
      <w:r w:rsidR="00517E9A" w:rsidRPr="00E53E52">
        <w:rPr>
          <w:rFonts w:ascii="Century Schoolbook" w:hAnsi="Century Schoolbook"/>
        </w:rPr>
        <w:t>3</w:t>
      </w:r>
      <w:r w:rsidRPr="00E53E52">
        <w:rPr>
          <w:rFonts w:ascii="Century Schoolbook" w:hAnsi="Century Schoolbook"/>
        </w:rPr>
        <w:t xml:space="preserve"> million internally displaced pe</w:t>
      </w:r>
      <w:r w:rsidR="001569AC" w:rsidRPr="00E53E52">
        <w:rPr>
          <w:rFonts w:ascii="Century Schoolbook" w:hAnsi="Century Schoolbook"/>
        </w:rPr>
        <w:t xml:space="preserve">rsons, and </w:t>
      </w:r>
      <w:r w:rsidR="00517E9A" w:rsidRPr="00E53E52">
        <w:rPr>
          <w:rFonts w:ascii="Century Schoolbook" w:hAnsi="Century Schoolbook"/>
        </w:rPr>
        <w:t>2</w:t>
      </w:r>
      <w:r w:rsidR="00F52500" w:rsidRPr="00E53E52">
        <w:rPr>
          <w:rFonts w:ascii="Century Schoolbook" w:hAnsi="Century Schoolbook"/>
        </w:rPr>
        <w:t>.</w:t>
      </w:r>
      <w:r w:rsidR="00517E9A" w:rsidRPr="00E53E52">
        <w:rPr>
          <w:rFonts w:ascii="Century Schoolbook" w:hAnsi="Century Schoolbook"/>
        </w:rPr>
        <w:t>8</w:t>
      </w:r>
      <w:r w:rsidRPr="00E53E52">
        <w:rPr>
          <w:rFonts w:ascii="Century Schoolbook" w:hAnsi="Century Schoolbook"/>
        </w:rPr>
        <w:t xml:space="preserve"> million asylum seekers</w:t>
      </w:r>
      <w:r w:rsidR="00027B0C" w:rsidRPr="00E53E52">
        <w:rPr>
          <w:rFonts w:ascii="Century Schoolbook" w:hAnsi="Century Schoolbook"/>
        </w:rPr>
        <w:t xml:space="preserve">. </w:t>
      </w:r>
      <w:r w:rsidRPr="00E53E52">
        <w:rPr>
          <w:rFonts w:ascii="Century Schoolbook" w:hAnsi="Century Schoolbook"/>
        </w:rPr>
        <w:t xml:space="preserve">UNHCR, </w:t>
      </w:r>
      <w:r w:rsidR="00F52500" w:rsidRPr="00E53E52">
        <w:rPr>
          <w:rFonts w:ascii="Century Schoolbook" w:hAnsi="Century Schoolbook"/>
          <w:i/>
        </w:rPr>
        <w:t>Global Trends:</w:t>
      </w:r>
      <w:r w:rsidRPr="00E53E52">
        <w:rPr>
          <w:rFonts w:ascii="Century Schoolbook" w:hAnsi="Century Schoolbook"/>
          <w:i/>
        </w:rPr>
        <w:t xml:space="preserve"> </w:t>
      </w:r>
      <w:r w:rsidR="000B5B84" w:rsidRPr="00E53E52">
        <w:rPr>
          <w:rFonts w:ascii="Century Schoolbook" w:hAnsi="Century Schoolbook"/>
          <w:i/>
        </w:rPr>
        <w:t xml:space="preserve">Forced Displacement in </w:t>
      </w:r>
      <w:r w:rsidRPr="00E53E52">
        <w:rPr>
          <w:rFonts w:ascii="Century Schoolbook" w:hAnsi="Century Schoolbook"/>
          <w:i/>
        </w:rPr>
        <w:t>20</w:t>
      </w:r>
      <w:r w:rsidR="00311C3C" w:rsidRPr="00E53E52">
        <w:rPr>
          <w:rFonts w:ascii="Century Schoolbook" w:hAnsi="Century Schoolbook"/>
          <w:i/>
        </w:rPr>
        <w:t>1</w:t>
      </w:r>
      <w:r w:rsidR="007D6289" w:rsidRPr="00E53E52">
        <w:rPr>
          <w:rFonts w:ascii="Century Schoolbook" w:hAnsi="Century Schoolbook"/>
          <w:i/>
        </w:rPr>
        <w:t>6</w:t>
      </w:r>
      <w:r w:rsidR="00311C3C" w:rsidRPr="00E53E52">
        <w:rPr>
          <w:rFonts w:ascii="Century Schoolbook" w:hAnsi="Century Schoolbook"/>
          <w:i/>
        </w:rPr>
        <w:t xml:space="preserve"> </w:t>
      </w:r>
      <w:r w:rsidR="00311C3C" w:rsidRPr="00E53E52">
        <w:rPr>
          <w:rFonts w:ascii="Century Schoolbook" w:hAnsi="Century Schoolbook"/>
        </w:rPr>
        <w:t>(June 201</w:t>
      </w:r>
      <w:r w:rsidR="009E18CD" w:rsidRPr="00E53E52">
        <w:rPr>
          <w:rFonts w:ascii="Century Schoolbook" w:hAnsi="Century Schoolbook"/>
        </w:rPr>
        <w:t>7</w:t>
      </w:r>
      <w:r w:rsidR="00311C3C" w:rsidRPr="00E53E52">
        <w:rPr>
          <w:rFonts w:ascii="Century Schoolbook" w:hAnsi="Century Schoolbook"/>
        </w:rPr>
        <w:t>) at 2</w:t>
      </w:r>
      <w:r w:rsidR="000B5B84" w:rsidRPr="00E53E52">
        <w:rPr>
          <w:rFonts w:ascii="Century Schoolbook" w:hAnsi="Century Schoolbook"/>
        </w:rPr>
        <w:t>.</w:t>
      </w:r>
    </w:p>
    <w:p w14:paraId="1C3D9A82" w14:textId="77777777" w:rsidR="00651BC0" w:rsidRPr="00E53E52" w:rsidRDefault="00651BC0" w:rsidP="001D1D6E">
      <w:pPr>
        <w:spacing w:after="120"/>
        <w:rPr>
          <w:rFonts w:ascii="Century Schoolbook" w:hAnsi="Century Schoolbook"/>
          <w:b/>
        </w:rPr>
      </w:pPr>
      <w:r w:rsidRPr="00E53E52">
        <w:rPr>
          <w:rFonts w:ascii="Century Schoolbook" w:hAnsi="Century Schoolbook"/>
          <w:b/>
        </w:rPr>
        <w:t>p. 61, after carryover paragraph, add:</w:t>
      </w:r>
    </w:p>
    <w:p w14:paraId="6AC19C7B" w14:textId="74ED5F79" w:rsidR="00016650" w:rsidRPr="00E53E52" w:rsidRDefault="00651BC0" w:rsidP="006C4D28">
      <w:pPr>
        <w:pStyle w:val="FootnoteText"/>
        <w:spacing w:after="120" w:line="276" w:lineRule="auto"/>
        <w:ind w:firstLine="720"/>
        <w:jc w:val="both"/>
        <w:rPr>
          <w:rFonts w:ascii="Century Schoolbook" w:hAnsi="Century Schoolbook"/>
          <w:sz w:val="22"/>
          <w:szCs w:val="22"/>
        </w:rPr>
      </w:pPr>
      <w:r w:rsidRPr="00E53E52">
        <w:rPr>
          <w:rFonts w:ascii="Century Schoolbook" w:hAnsi="Century Schoolbook"/>
          <w:sz w:val="22"/>
          <w:szCs w:val="22"/>
        </w:rPr>
        <w:t xml:space="preserve">Spurred by the ongoing civil war in Syria, the lack of a functioning government in Libya, and strife in many parts of Africa and Asia, the number of asylum seekers in Europe has increased </w:t>
      </w:r>
      <w:r w:rsidR="00C00CE2" w:rsidRPr="00E53E52">
        <w:rPr>
          <w:rFonts w:ascii="Century Schoolbook" w:hAnsi="Century Schoolbook"/>
          <w:sz w:val="22"/>
          <w:szCs w:val="22"/>
        </w:rPr>
        <w:t xml:space="preserve">dramatically </w:t>
      </w:r>
      <w:r w:rsidRPr="00E53E52">
        <w:rPr>
          <w:rFonts w:ascii="Century Schoolbook" w:hAnsi="Century Schoolbook"/>
          <w:sz w:val="22"/>
          <w:szCs w:val="22"/>
        </w:rPr>
        <w:t>in recent years.</w:t>
      </w:r>
      <w:r w:rsidR="00810FDA" w:rsidRPr="00E53E52">
        <w:rPr>
          <w:rFonts w:ascii="Century Schoolbook" w:hAnsi="Century Schoolbook"/>
          <w:sz w:val="22"/>
          <w:szCs w:val="22"/>
        </w:rPr>
        <w:t xml:space="preserve"> </w:t>
      </w:r>
      <w:r w:rsidR="006A46FA" w:rsidRPr="00E53E52">
        <w:rPr>
          <w:rFonts w:ascii="Century Schoolbook" w:hAnsi="Century Schoolbook"/>
          <w:sz w:val="22"/>
          <w:szCs w:val="22"/>
        </w:rPr>
        <w:t xml:space="preserve">The number of individuals who filed asylum applications in the European Union was 302,000 in 2011, 332,000 in 2012, 431,000 in 2013, </w:t>
      </w:r>
      <w:r w:rsidR="00F75C1E" w:rsidRPr="00E53E52">
        <w:rPr>
          <w:rFonts w:ascii="Century Schoolbook" w:hAnsi="Century Schoolbook"/>
          <w:sz w:val="22"/>
          <w:szCs w:val="22"/>
        </w:rPr>
        <w:t xml:space="preserve">and </w:t>
      </w:r>
      <w:r w:rsidR="006A46FA" w:rsidRPr="00E53E52">
        <w:rPr>
          <w:rFonts w:ascii="Century Schoolbook" w:hAnsi="Century Schoolbook"/>
          <w:sz w:val="22"/>
          <w:szCs w:val="22"/>
        </w:rPr>
        <w:t>62</w:t>
      </w:r>
      <w:r w:rsidR="00F30B4C" w:rsidRPr="00E53E52">
        <w:rPr>
          <w:rFonts w:ascii="Century Schoolbook" w:hAnsi="Century Schoolbook"/>
          <w:sz w:val="22"/>
          <w:szCs w:val="22"/>
        </w:rPr>
        <w:t>7</w:t>
      </w:r>
      <w:r w:rsidR="006A46FA" w:rsidRPr="00E53E52">
        <w:rPr>
          <w:rFonts w:ascii="Century Schoolbook" w:hAnsi="Century Schoolbook"/>
          <w:sz w:val="22"/>
          <w:szCs w:val="22"/>
        </w:rPr>
        <w:t>,000 in 2014</w:t>
      </w:r>
      <w:r w:rsidR="00F75C1E" w:rsidRPr="00E53E52">
        <w:rPr>
          <w:rFonts w:ascii="Century Schoolbook" w:hAnsi="Century Schoolbook"/>
          <w:sz w:val="22"/>
          <w:szCs w:val="22"/>
        </w:rPr>
        <w:t>.</w:t>
      </w:r>
      <w:r w:rsidR="00810FDA" w:rsidRPr="00E53E52">
        <w:rPr>
          <w:rFonts w:ascii="Century Schoolbook" w:hAnsi="Century Schoolbook"/>
          <w:sz w:val="22"/>
          <w:szCs w:val="22"/>
        </w:rPr>
        <w:t xml:space="preserve"> </w:t>
      </w:r>
      <w:r w:rsidR="00783E6F" w:rsidRPr="00E53E52">
        <w:rPr>
          <w:rFonts w:ascii="Century Schoolbook" w:hAnsi="Century Schoolbook"/>
          <w:sz w:val="22"/>
          <w:szCs w:val="22"/>
        </w:rPr>
        <w:t xml:space="preserve">In 2015 Europe faced its largest refugee crisis since World War </w:t>
      </w:r>
      <w:r w:rsidR="00BC33C9" w:rsidRPr="00E53E52">
        <w:rPr>
          <w:rFonts w:ascii="Century Schoolbook" w:hAnsi="Century Schoolbook"/>
          <w:sz w:val="22"/>
          <w:szCs w:val="22"/>
        </w:rPr>
        <w:t>II.</w:t>
      </w:r>
      <w:r w:rsidR="00810FDA" w:rsidRPr="00E53E52">
        <w:rPr>
          <w:rFonts w:ascii="Century Schoolbook" w:hAnsi="Century Schoolbook"/>
          <w:sz w:val="22"/>
          <w:szCs w:val="22"/>
        </w:rPr>
        <w:t xml:space="preserve"> </w:t>
      </w:r>
      <w:r w:rsidR="00BC33C9" w:rsidRPr="00E53E52">
        <w:rPr>
          <w:rFonts w:ascii="Century Schoolbook" w:hAnsi="Century Schoolbook"/>
          <w:sz w:val="22"/>
          <w:szCs w:val="22"/>
        </w:rPr>
        <w:t>Frontex, the European Unio</w:t>
      </w:r>
      <w:r w:rsidR="00783E6F" w:rsidRPr="00E53E52">
        <w:rPr>
          <w:rFonts w:ascii="Century Schoolbook" w:hAnsi="Century Schoolbook"/>
          <w:sz w:val="22"/>
          <w:szCs w:val="22"/>
        </w:rPr>
        <w:t>n (EU) border management agency, counted 1.8 million asylum s</w:t>
      </w:r>
      <w:r w:rsidR="00BC33C9" w:rsidRPr="00E53E52">
        <w:rPr>
          <w:rFonts w:ascii="Century Schoolbook" w:hAnsi="Century Schoolbook"/>
          <w:sz w:val="22"/>
          <w:szCs w:val="22"/>
        </w:rPr>
        <w:t xml:space="preserve">eekers crossing the EU frontiers. Eurostat, Statistics Explained/Asylum Statistics, </w:t>
      </w:r>
      <w:hyperlink r:id="rId8" w:anchor="Asylum_applicants" w:history="1">
        <w:r w:rsidR="00BC33C9" w:rsidRPr="00E53E52">
          <w:rPr>
            <w:rStyle w:val="Hyperlink"/>
            <w:rFonts w:eastAsiaTheme="minorHAnsi"/>
            <w:color w:val="000000" w:themeColor="text1"/>
            <w:sz w:val="22"/>
            <w:szCs w:val="22"/>
          </w:rPr>
          <w:t>http://ec.europa.eu/eurostat/statistics-explained/index.php/Asylum_statistics#Asylum_applicants</w:t>
        </w:r>
      </w:hyperlink>
      <w:r w:rsidR="00BC33C9" w:rsidRPr="00E53E52">
        <w:rPr>
          <w:rFonts w:ascii="Century Schoolbook" w:hAnsi="Century Schoolbook"/>
          <w:color w:val="000000" w:themeColor="text1"/>
          <w:sz w:val="22"/>
          <w:szCs w:val="22"/>
        </w:rPr>
        <w:t>.</w:t>
      </w:r>
      <w:r w:rsidR="001867B1" w:rsidRPr="00E53E52">
        <w:rPr>
          <w:rFonts w:ascii="Century Schoolbook" w:hAnsi="Century Schoolbook"/>
          <w:sz w:val="22"/>
          <w:szCs w:val="22"/>
        </w:rPr>
        <w:t xml:space="preserve"> </w:t>
      </w:r>
    </w:p>
    <w:p w14:paraId="7F7CF418" w14:textId="17BB5C77" w:rsidR="00391D4E" w:rsidRPr="00E53E52" w:rsidRDefault="00BC0CBB" w:rsidP="006C4D28">
      <w:pPr>
        <w:pStyle w:val="FootnoteText"/>
        <w:spacing w:after="120" w:line="276" w:lineRule="auto"/>
        <w:ind w:firstLine="720"/>
        <w:jc w:val="both"/>
        <w:rPr>
          <w:rFonts w:ascii="Century Schoolbook" w:hAnsi="Century Schoolbook"/>
          <w:sz w:val="22"/>
          <w:szCs w:val="22"/>
        </w:rPr>
      </w:pPr>
      <w:r w:rsidRPr="00E53E52">
        <w:rPr>
          <w:rFonts w:ascii="Century Schoolbook" w:hAnsi="Century Schoolbook"/>
          <w:sz w:val="22"/>
          <w:szCs w:val="22"/>
        </w:rPr>
        <w:t>EU governments reported that 1.3 million individuals registered as asylum seekers</w:t>
      </w:r>
      <w:r w:rsidR="000740A6" w:rsidRPr="00E53E52">
        <w:rPr>
          <w:rFonts w:ascii="Century Schoolbook" w:hAnsi="Century Schoolbook"/>
          <w:sz w:val="22"/>
          <w:szCs w:val="22"/>
        </w:rPr>
        <w:t xml:space="preserve"> in 2015</w:t>
      </w:r>
      <w:r w:rsidRPr="00E53E52">
        <w:rPr>
          <w:rFonts w:ascii="Century Schoolbook" w:hAnsi="Century Schoolbook"/>
          <w:sz w:val="22"/>
          <w:szCs w:val="22"/>
        </w:rPr>
        <w:t>,</w:t>
      </w:r>
      <w:r w:rsidR="00810FDA" w:rsidRPr="00E53E52">
        <w:rPr>
          <w:rFonts w:ascii="Century Schoolbook" w:hAnsi="Century Schoolbook"/>
        </w:rPr>
        <w:t xml:space="preserve"> </w:t>
      </w:r>
      <w:r w:rsidRPr="00E53E52">
        <w:rPr>
          <w:rFonts w:ascii="Century Schoolbook" w:hAnsi="Century Schoolbook"/>
          <w:sz w:val="22"/>
          <w:szCs w:val="22"/>
        </w:rPr>
        <w:t>with 1.1 million registering in Germany alone</w:t>
      </w:r>
      <w:r w:rsidRPr="00E53E52">
        <w:rPr>
          <w:rFonts w:ascii="Century Schoolbook" w:hAnsi="Century Schoolbook"/>
        </w:rPr>
        <w:t>.</w:t>
      </w:r>
      <w:r w:rsidR="003E02E9" w:rsidRPr="00E53E52">
        <w:rPr>
          <w:rFonts w:ascii="Century Schoolbook" w:hAnsi="Century Schoolbook"/>
        </w:rPr>
        <w:t xml:space="preserve"> </w:t>
      </w:r>
      <w:r w:rsidR="003E02E9" w:rsidRPr="00E53E52">
        <w:rPr>
          <w:rFonts w:ascii="Century Schoolbook" w:hAnsi="Century Schoolbook"/>
          <w:i/>
          <w:sz w:val="22"/>
          <w:szCs w:val="22"/>
        </w:rPr>
        <w:t>Id.</w:t>
      </w:r>
      <w:r w:rsidR="00810FDA" w:rsidRPr="00E53E52">
        <w:rPr>
          <w:sz w:val="22"/>
          <w:szCs w:val="22"/>
        </w:rPr>
        <w:t xml:space="preserve"> </w:t>
      </w:r>
      <w:r w:rsidR="0086309F" w:rsidRPr="00E53E52">
        <w:rPr>
          <w:rFonts w:ascii="Century Schoolbook" w:hAnsi="Century Schoolbook"/>
          <w:sz w:val="22"/>
          <w:szCs w:val="22"/>
        </w:rPr>
        <w:t xml:space="preserve">UNHCR </w:t>
      </w:r>
      <w:r w:rsidR="0020173C" w:rsidRPr="00E53E52">
        <w:rPr>
          <w:rFonts w:ascii="Century Schoolbook" w:hAnsi="Century Schoolbook"/>
          <w:sz w:val="22"/>
          <w:szCs w:val="22"/>
        </w:rPr>
        <w:t xml:space="preserve">data showed </w:t>
      </w:r>
      <w:r w:rsidRPr="00E53E52">
        <w:rPr>
          <w:rFonts w:ascii="Century Schoolbook" w:hAnsi="Century Schoolbook"/>
          <w:sz w:val="22"/>
          <w:szCs w:val="22"/>
        </w:rPr>
        <w:t>that most of the 1.1 million asylum seekers registered in Europe in 2015 came from countries experiencing war and persecution, suggesting that a high proportion have valid claims to asylum.</w:t>
      </w:r>
      <w:r w:rsidR="00810FDA" w:rsidRPr="00E53E52">
        <w:rPr>
          <w:rFonts w:ascii="Century Schoolbook" w:hAnsi="Century Schoolbook"/>
          <w:sz w:val="22"/>
          <w:szCs w:val="22"/>
        </w:rPr>
        <w:t xml:space="preserve"> </w:t>
      </w:r>
      <w:r w:rsidR="00B8176A" w:rsidRPr="00E53E52">
        <w:rPr>
          <w:rFonts w:ascii="Century Schoolbook" w:hAnsi="Century Schoolbook"/>
          <w:sz w:val="22"/>
          <w:szCs w:val="22"/>
        </w:rPr>
        <w:t xml:space="preserve">UNHCR, </w:t>
      </w:r>
      <w:r w:rsidR="00B8176A" w:rsidRPr="00E53E52">
        <w:rPr>
          <w:rFonts w:ascii="Century Schoolbook" w:hAnsi="Century Schoolbook"/>
          <w:i/>
          <w:sz w:val="22"/>
          <w:szCs w:val="22"/>
        </w:rPr>
        <w:t>Refugees/Migrants Emergency Response -</w:t>
      </w:r>
      <w:r w:rsidR="00810FDA" w:rsidRPr="00E53E52">
        <w:rPr>
          <w:rFonts w:ascii="Century Schoolbook" w:hAnsi="Century Schoolbook"/>
          <w:i/>
          <w:sz w:val="22"/>
          <w:szCs w:val="22"/>
        </w:rPr>
        <w:t xml:space="preserve"> </w:t>
      </w:r>
      <w:r w:rsidR="00B8176A" w:rsidRPr="00E53E52">
        <w:rPr>
          <w:rFonts w:ascii="Century Schoolbook" w:hAnsi="Century Schoolbook"/>
          <w:i/>
          <w:sz w:val="22"/>
          <w:szCs w:val="22"/>
        </w:rPr>
        <w:t>Mediterranean</w:t>
      </w:r>
      <w:r w:rsidR="00B8176A" w:rsidRPr="00E53E52">
        <w:rPr>
          <w:rFonts w:ascii="Century Schoolbook" w:hAnsi="Century Schoolbook"/>
          <w:sz w:val="22"/>
          <w:szCs w:val="22"/>
        </w:rPr>
        <w:t xml:space="preserve">, </w:t>
      </w:r>
      <w:hyperlink r:id="rId9" w:history="1">
        <w:r w:rsidR="009119AD" w:rsidRPr="00E53E52">
          <w:rPr>
            <w:rStyle w:val="Hyperlink"/>
            <w:rFonts w:eastAsiaTheme="minorHAnsi"/>
            <w:sz w:val="22"/>
            <w:szCs w:val="22"/>
          </w:rPr>
          <w:t>http://data.unhcr.org/mediterranean/regional.php</w:t>
        </w:r>
      </w:hyperlink>
      <w:r w:rsidR="00B8176A" w:rsidRPr="00E53E52">
        <w:rPr>
          <w:rFonts w:ascii="Century Schoolbook" w:hAnsi="Century Schoolbook"/>
          <w:sz w:val="22"/>
          <w:szCs w:val="22"/>
        </w:rPr>
        <w:t>.</w:t>
      </w:r>
      <w:r w:rsidR="00810FDA" w:rsidRPr="00E53E52">
        <w:rPr>
          <w:rFonts w:ascii="Century Schoolbook" w:hAnsi="Century Schoolbook"/>
          <w:sz w:val="22"/>
          <w:szCs w:val="22"/>
        </w:rPr>
        <w:t xml:space="preserve"> </w:t>
      </w:r>
      <w:r w:rsidR="00B8053B" w:rsidRPr="00E53E52">
        <w:rPr>
          <w:rFonts w:ascii="Century Schoolbook" w:hAnsi="Century Schoolbook"/>
          <w:sz w:val="22"/>
          <w:szCs w:val="22"/>
        </w:rPr>
        <w:t>The largest number came from Syria.</w:t>
      </w:r>
      <w:r w:rsidR="00810FDA" w:rsidRPr="00E53E52">
        <w:rPr>
          <w:rFonts w:ascii="Century Schoolbook" w:hAnsi="Century Schoolbook"/>
          <w:sz w:val="22"/>
          <w:szCs w:val="22"/>
        </w:rPr>
        <w:t xml:space="preserve"> </w:t>
      </w:r>
      <w:r w:rsidR="008E29ED" w:rsidRPr="00E53E52">
        <w:rPr>
          <w:rFonts w:ascii="Century Schoolbook" w:hAnsi="Century Schoolbook"/>
          <w:sz w:val="22"/>
          <w:szCs w:val="22"/>
        </w:rPr>
        <w:t>More than 10 million Syrians have</w:t>
      </w:r>
      <w:r w:rsidR="00B8053B" w:rsidRPr="00E53E52">
        <w:rPr>
          <w:rFonts w:ascii="Century Schoolbook" w:hAnsi="Century Schoolbook"/>
        </w:rPr>
        <w:t xml:space="preserve"> </w:t>
      </w:r>
      <w:r w:rsidR="00B8053B" w:rsidRPr="00E53E52">
        <w:rPr>
          <w:rFonts w:ascii="Century Schoolbook" w:hAnsi="Century Schoolbook"/>
          <w:sz w:val="22"/>
          <w:szCs w:val="22"/>
        </w:rPr>
        <w:t>fled their homes</w:t>
      </w:r>
      <w:r w:rsidR="00DE1F5E" w:rsidRPr="00E53E52">
        <w:rPr>
          <w:rFonts w:ascii="Century Schoolbook" w:hAnsi="Century Schoolbook"/>
          <w:sz w:val="22"/>
          <w:szCs w:val="22"/>
        </w:rPr>
        <w:t xml:space="preserve"> during the civil war</w:t>
      </w:r>
      <w:r w:rsidR="00B8053B" w:rsidRPr="00E53E52">
        <w:rPr>
          <w:rFonts w:ascii="Century Schoolbook" w:hAnsi="Century Schoolbook"/>
          <w:sz w:val="22"/>
          <w:szCs w:val="22"/>
        </w:rPr>
        <w:t>,</w:t>
      </w:r>
      <w:r w:rsidR="0024247C" w:rsidRPr="00E53E52">
        <w:rPr>
          <w:rFonts w:ascii="Century Schoolbook" w:hAnsi="Century Schoolbook"/>
          <w:sz w:val="22"/>
          <w:szCs w:val="22"/>
        </w:rPr>
        <w:t xml:space="preserve"> with</w:t>
      </w:r>
      <w:r w:rsidR="00B8053B" w:rsidRPr="00E53E52">
        <w:rPr>
          <w:rFonts w:ascii="Century Schoolbook" w:hAnsi="Century Schoolbook"/>
          <w:sz w:val="22"/>
          <w:szCs w:val="22"/>
        </w:rPr>
        <w:t xml:space="preserve"> </w:t>
      </w:r>
      <w:r w:rsidR="000A628B" w:rsidRPr="00E53E52">
        <w:rPr>
          <w:rFonts w:ascii="Century Schoolbook" w:hAnsi="Century Schoolbook"/>
          <w:sz w:val="22"/>
          <w:szCs w:val="22"/>
        </w:rPr>
        <w:t>more than 5</w:t>
      </w:r>
      <w:r w:rsidR="00B8053B" w:rsidRPr="00E53E52">
        <w:rPr>
          <w:rFonts w:ascii="Century Schoolbook" w:hAnsi="Century Schoolbook"/>
          <w:sz w:val="22"/>
          <w:szCs w:val="22"/>
        </w:rPr>
        <w:t xml:space="preserve"> million </w:t>
      </w:r>
      <w:r w:rsidR="0024247C" w:rsidRPr="00E53E52">
        <w:rPr>
          <w:rFonts w:ascii="Century Schoolbook" w:hAnsi="Century Schoolbook"/>
          <w:sz w:val="22"/>
          <w:szCs w:val="22"/>
        </w:rPr>
        <w:t>crossing borders</w:t>
      </w:r>
      <w:r w:rsidR="00B8053B" w:rsidRPr="00E53E52">
        <w:rPr>
          <w:rFonts w:ascii="Century Schoolbook" w:hAnsi="Century Schoolbook"/>
          <w:sz w:val="22"/>
          <w:szCs w:val="22"/>
        </w:rPr>
        <w:t xml:space="preserve"> to neighboring countries</w:t>
      </w:r>
      <w:r w:rsidR="0024247C" w:rsidRPr="00E53E52">
        <w:rPr>
          <w:rFonts w:ascii="Century Schoolbook" w:hAnsi="Century Schoolbook"/>
          <w:sz w:val="22"/>
          <w:szCs w:val="22"/>
        </w:rPr>
        <w:t xml:space="preserve"> and registering</w:t>
      </w:r>
      <w:r w:rsidR="00B8053B" w:rsidRPr="00E53E52">
        <w:rPr>
          <w:rFonts w:ascii="Century Schoolbook" w:hAnsi="Century Schoolbook"/>
          <w:sz w:val="22"/>
          <w:szCs w:val="22"/>
        </w:rPr>
        <w:t xml:space="preserve"> as refugees</w:t>
      </w:r>
      <w:r w:rsidR="00B8053B" w:rsidRPr="00E53E52">
        <w:rPr>
          <w:rFonts w:ascii="Century Schoolbook" w:hAnsi="Century Schoolbook"/>
        </w:rPr>
        <w:t>.</w:t>
      </w:r>
      <w:r w:rsidR="00810FDA" w:rsidRPr="00E53E52">
        <w:rPr>
          <w:rFonts w:ascii="Century Schoolbook" w:hAnsi="Century Schoolbook"/>
          <w:sz w:val="22"/>
          <w:szCs w:val="22"/>
        </w:rPr>
        <w:t xml:space="preserve"> </w:t>
      </w:r>
      <w:r w:rsidR="000A628B" w:rsidRPr="00E53E52">
        <w:rPr>
          <w:rFonts w:ascii="Century Schoolbook" w:hAnsi="Century Schoolbook"/>
          <w:sz w:val="22"/>
          <w:szCs w:val="22"/>
        </w:rPr>
        <w:t xml:space="preserve">UNHCR, Syria Regional Response, </w:t>
      </w:r>
      <w:hyperlink r:id="rId10" w:history="1">
        <w:r w:rsidR="00E466AC" w:rsidRPr="00E53E52">
          <w:rPr>
            <w:rStyle w:val="Hyperlink"/>
            <w:rFonts w:eastAsiaTheme="minorHAnsi"/>
            <w:sz w:val="22"/>
            <w:szCs w:val="22"/>
          </w:rPr>
          <w:t>http://data.unhcr.org/syrianrefugees/regional.php</w:t>
        </w:r>
      </w:hyperlink>
      <w:r w:rsidR="00E466AC" w:rsidRPr="00E53E52">
        <w:rPr>
          <w:rFonts w:ascii="Century Schoolbook" w:hAnsi="Century Schoolbook"/>
          <w:sz w:val="22"/>
          <w:szCs w:val="22"/>
        </w:rPr>
        <w:t xml:space="preserve"> (</w:t>
      </w:r>
      <w:r w:rsidR="006C066C" w:rsidRPr="00E53E52">
        <w:rPr>
          <w:rFonts w:ascii="Century Schoolbook" w:hAnsi="Century Schoolbook"/>
          <w:sz w:val="22"/>
          <w:szCs w:val="22"/>
        </w:rPr>
        <w:t>July 4, 2017)</w:t>
      </w:r>
      <w:r w:rsidR="00E466AC" w:rsidRPr="00E53E52">
        <w:rPr>
          <w:rFonts w:ascii="Century Schoolbook" w:hAnsi="Century Schoolbook"/>
          <w:sz w:val="22"/>
          <w:szCs w:val="22"/>
        </w:rPr>
        <w:t>.</w:t>
      </w:r>
      <w:r w:rsidR="00810FDA" w:rsidRPr="00E53E52">
        <w:rPr>
          <w:rFonts w:ascii="Century Schoolbook" w:hAnsi="Century Schoolbook"/>
          <w:sz w:val="22"/>
          <w:szCs w:val="22"/>
        </w:rPr>
        <w:t xml:space="preserve"> </w:t>
      </w:r>
      <w:r w:rsidR="00B8053B" w:rsidRPr="00E53E52">
        <w:rPr>
          <w:rFonts w:ascii="Century Schoolbook" w:hAnsi="Century Schoolbook"/>
          <w:sz w:val="22"/>
          <w:szCs w:val="22"/>
        </w:rPr>
        <w:t xml:space="preserve">Turkey hosts </w:t>
      </w:r>
      <w:r w:rsidR="00733FCB" w:rsidRPr="00E53E52">
        <w:rPr>
          <w:rFonts w:ascii="Century Schoolbook" w:hAnsi="Century Schoolbook"/>
          <w:sz w:val="22"/>
          <w:szCs w:val="22"/>
        </w:rPr>
        <w:t>over 3</w:t>
      </w:r>
      <w:r w:rsidR="00B8053B" w:rsidRPr="00E53E52">
        <w:rPr>
          <w:rFonts w:ascii="Century Schoolbook" w:hAnsi="Century Schoolbook"/>
          <w:sz w:val="22"/>
          <w:szCs w:val="22"/>
        </w:rPr>
        <w:t xml:space="preserve"> million registered Syrians,</w:t>
      </w:r>
      <w:r w:rsidR="00572139" w:rsidRPr="00E53E52">
        <w:rPr>
          <w:rStyle w:val="FootnoteReference"/>
          <w:rFonts w:ascii="Century Schoolbook" w:hAnsi="Century Schoolbook"/>
          <w:sz w:val="22"/>
          <w:szCs w:val="22"/>
        </w:rPr>
        <w:t xml:space="preserve"> </w:t>
      </w:r>
      <w:r w:rsidR="00572139" w:rsidRPr="00E53E52">
        <w:rPr>
          <w:rFonts w:ascii="Century Schoolbook" w:hAnsi="Century Schoolbook"/>
          <w:i/>
          <w:sz w:val="22"/>
          <w:szCs w:val="22"/>
        </w:rPr>
        <w:t>id.,</w:t>
      </w:r>
      <w:r w:rsidR="00B8053B" w:rsidRPr="00E53E52">
        <w:rPr>
          <w:rFonts w:ascii="Century Schoolbook" w:hAnsi="Century Schoolbook"/>
          <w:sz w:val="22"/>
          <w:szCs w:val="22"/>
        </w:rPr>
        <w:t xml:space="preserve"> and many more may be unregistered.</w:t>
      </w:r>
      <w:r w:rsidR="00810FDA" w:rsidRPr="00E53E52">
        <w:rPr>
          <w:rFonts w:ascii="Century Schoolbook" w:hAnsi="Century Schoolbook"/>
          <w:sz w:val="22"/>
          <w:szCs w:val="22"/>
        </w:rPr>
        <w:t xml:space="preserve"> </w:t>
      </w:r>
      <w:r w:rsidR="00B8053B" w:rsidRPr="00E53E52">
        <w:rPr>
          <w:rFonts w:ascii="Century Schoolbook" w:hAnsi="Century Schoolbook"/>
          <w:sz w:val="22"/>
          <w:szCs w:val="22"/>
        </w:rPr>
        <w:t>Lebanon, a country of 4 million, hosts 1.1 million Syrian refugees, while Jordan hosts 6</w:t>
      </w:r>
      <w:r w:rsidR="006C066C" w:rsidRPr="00E53E52">
        <w:rPr>
          <w:rFonts w:ascii="Century Schoolbook" w:hAnsi="Century Schoolbook"/>
          <w:sz w:val="22"/>
          <w:szCs w:val="22"/>
        </w:rPr>
        <w:t>60</w:t>
      </w:r>
      <w:r w:rsidR="00B8053B" w:rsidRPr="00E53E52">
        <w:rPr>
          <w:rFonts w:ascii="Century Schoolbook" w:hAnsi="Century Schoolbook"/>
          <w:sz w:val="22"/>
          <w:szCs w:val="22"/>
        </w:rPr>
        <w:t>,000.</w:t>
      </w:r>
      <w:r w:rsidR="00572139" w:rsidRPr="00E53E52">
        <w:rPr>
          <w:rFonts w:ascii="Century Schoolbook" w:hAnsi="Century Schoolbook"/>
          <w:sz w:val="22"/>
          <w:szCs w:val="22"/>
        </w:rPr>
        <w:t xml:space="preserve"> </w:t>
      </w:r>
      <w:r w:rsidR="00572139" w:rsidRPr="00E53E52">
        <w:rPr>
          <w:rFonts w:ascii="Century Schoolbook" w:hAnsi="Century Schoolbook"/>
          <w:i/>
          <w:sz w:val="22"/>
          <w:szCs w:val="22"/>
        </w:rPr>
        <w:t>Id</w:t>
      </w:r>
      <w:r w:rsidR="00572139" w:rsidRPr="00E53E52">
        <w:rPr>
          <w:rFonts w:ascii="Century Schoolbook" w:hAnsi="Century Schoolbook"/>
          <w:sz w:val="22"/>
          <w:szCs w:val="22"/>
        </w:rPr>
        <w:t>.</w:t>
      </w:r>
      <w:r w:rsidR="00810FDA" w:rsidRPr="00E53E52">
        <w:rPr>
          <w:rFonts w:ascii="Century Schoolbook" w:hAnsi="Century Schoolbook"/>
          <w:sz w:val="22"/>
          <w:szCs w:val="22"/>
        </w:rPr>
        <w:t xml:space="preserve"> </w:t>
      </w:r>
      <w:r w:rsidR="008869A9" w:rsidRPr="00E53E52">
        <w:rPr>
          <w:rFonts w:ascii="Century Schoolbook" w:hAnsi="Century Schoolbook"/>
          <w:sz w:val="22"/>
          <w:szCs w:val="22"/>
        </w:rPr>
        <w:t>Many of the</w:t>
      </w:r>
      <w:r w:rsidR="00B8053B" w:rsidRPr="00E53E52">
        <w:rPr>
          <w:rFonts w:ascii="Century Schoolbook" w:hAnsi="Century Schoolbook"/>
          <w:sz w:val="22"/>
          <w:szCs w:val="22"/>
        </w:rPr>
        <w:t xml:space="preserve"> countries </w:t>
      </w:r>
      <w:r w:rsidR="008869A9" w:rsidRPr="00E53E52">
        <w:rPr>
          <w:rFonts w:ascii="Century Schoolbook" w:hAnsi="Century Schoolbook"/>
          <w:sz w:val="22"/>
          <w:szCs w:val="22"/>
        </w:rPr>
        <w:t xml:space="preserve">of refuge </w:t>
      </w:r>
      <w:r w:rsidR="00B8053B" w:rsidRPr="00E53E52">
        <w:rPr>
          <w:rFonts w:ascii="Century Schoolbook" w:hAnsi="Century Schoolbook"/>
          <w:sz w:val="22"/>
          <w:szCs w:val="22"/>
        </w:rPr>
        <w:t>have not granted Syrians permission to work</w:t>
      </w:r>
      <w:r w:rsidR="008869A9" w:rsidRPr="00E53E52">
        <w:rPr>
          <w:rFonts w:ascii="Century Schoolbook" w:hAnsi="Century Schoolbook"/>
          <w:sz w:val="22"/>
          <w:szCs w:val="22"/>
        </w:rPr>
        <w:t xml:space="preserve">, leading refugees </w:t>
      </w:r>
      <w:r w:rsidR="00B8053B" w:rsidRPr="00E53E52">
        <w:rPr>
          <w:rFonts w:ascii="Century Schoolbook" w:hAnsi="Century Schoolbook"/>
          <w:sz w:val="22"/>
          <w:szCs w:val="22"/>
        </w:rPr>
        <w:t>to deplete their savings, and then seek work in the informal labor market where they are underpaid and vulnerable.</w:t>
      </w:r>
      <w:r w:rsidR="00810FDA" w:rsidRPr="00E53E52">
        <w:rPr>
          <w:rStyle w:val="FootnoteReference"/>
          <w:rFonts w:ascii="Century Schoolbook" w:hAnsi="Century Schoolbook"/>
          <w:sz w:val="22"/>
          <w:szCs w:val="22"/>
        </w:rPr>
        <w:t xml:space="preserve"> </w:t>
      </w:r>
      <w:r w:rsidR="00391D4E" w:rsidRPr="00E53E52">
        <w:rPr>
          <w:rFonts w:ascii="Century Schoolbook" w:hAnsi="Century Schoolbook"/>
          <w:sz w:val="22"/>
          <w:szCs w:val="22"/>
        </w:rPr>
        <w:t xml:space="preserve">Patrick Kingsley, </w:t>
      </w:r>
      <w:r w:rsidR="00391D4E" w:rsidRPr="00E53E52">
        <w:rPr>
          <w:rFonts w:ascii="Century Schoolbook" w:hAnsi="Century Schoolbook"/>
          <w:i/>
          <w:sz w:val="22"/>
          <w:szCs w:val="22"/>
        </w:rPr>
        <w:t>Fewer Than 0.1% of Syrians in Turkey In Line for Work Permits,</w:t>
      </w:r>
      <w:r w:rsidR="00391D4E" w:rsidRPr="00E53E52">
        <w:rPr>
          <w:rFonts w:ascii="Century Schoolbook" w:hAnsi="Century Schoolbook"/>
          <w:sz w:val="22"/>
          <w:szCs w:val="22"/>
        </w:rPr>
        <w:t xml:space="preserve"> The Guardian, Apr. 11, 2016.</w:t>
      </w:r>
      <w:r w:rsidR="00810FDA" w:rsidRPr="00E53E52">
        <w:rPr>
          <w:rFonts w:ascii="Century Schoolbook" w:hAnsi="Century Schoolbook"/>
          <w:sz w:val="22"/>
          <w:szCs w:val="22"/>
        </w:rPr>
        <w:t xml:space="preserve"> </w:t>
      </w:r>
    </w:p>
    <w:p w14:paraId="57090325" w14:textId="334A505E" w:rsidR="00B8053B" w:rsidRPr="00E53E52" w:rsidRDefault="00B8053B" w:rsidP="006C4D28">
      <w:pPr>
        <w:pStyle w:val="FootnoteText"/>
        <w:spacing w:after="120" w:line="276" w:lineRule="auto"/>
        <w:ind w:firstLine="720"/>
        <w:jc w:val="both"/>
        <w:rPr>
          <w:rFonts w:ascii="Century Schoolbook" w:hAnsi="Century Schoolbook"/>
          <w:sz w:val="22"/>
          <w:szCs w:val="22"/>
        </w:rPr>
      </w:pPr>
      <w:r w:rsidRPr="00E53E52">
        <w:rPr>
          <w:rFonts w:ascii="Century Schoolbook" w:hAnsi="Century Schoolbook"/>
          <w:sz w:val="22"/>
          <w:szCs w:val="22"/>
        </w:rPr>
        <w:t xml:space="preserve">Refuge </w:t>
      </w:r>
      <w:r w:rsidR="00C52D79" w:rsidRPr="00E53E52">
        <w:rPr>
          <w:rFonts w:ascii="Century Schoolbook" w:hAnsi="Century Schoolbook"/>
          <w:sz w:val="22"/>
          <w:szCs w:val="22"/>
        </w:rPr>
        <w:t>in the Middle East</w:t>
      </w:r>
      <w:r w:rsidRPr="00E53E52">
        <w:rPr>
          <w:rFonts w:ascii="Century Schoolbook" w:hAnsi="Century Schoolbook"/>
          <w:sz w:val="22"/>
          <w:szCs w:val="22"/>
        </w:rPr>
        <w:t xml:space="preserve"> became more untenable in September 2015 when a lack of resources led the World Food Program to eliminate food vouchers for one-third of the Syrian refugees in the </w:t>
      </w:r>
      <w:r w:rsidR="009130EB" w:rsidRPr="00E53E52">
        <w:rPr>
          <w:rFonts w:ascii="Century Schoolbook" w:hAnsi="Century Schoolbook"/>
          <w:sz w:val="22"/>
          <w:szCs w:val="22"/>
        </w:rPr>
        <w:t>region</w:t>
      </w:r>
      <w:r w:rsidRPr="00E53E52">
        <w:rPr>
          <w:rFonts w:ascii="Century Schoolbook" w:hAnsi="Century Schoolbook"/>
          <w:sz w:val="22"/>
          <w:szCs w:val="22"/>
        </w:rPr>
        <w:t>.</w:t>
      </w:r>
      <w:r w:rsidR="00810FDA" w:rsidRPr="00E53E52">
        <w:rPr>
          <w:rFonts w:ascii="Century Schoolbook" w:hAnsi="Century Schoolbook"/>
          <w:sz w:val="22"/>
          <w:szCs w:val="22"/>
        </w:rPr>
        <w:t xml:space="preserve"> </w:t>
      </w:r>
      <w:r w:rsidR="00514AC2" w:rsidRPr="00E53E52">
        <w:rPr>
          <w:rFonts w:ascii="Century Schoolbook" w:hAnsi="Century Schoolbook"/>
          <w:sz w:val="22"/>
          <w:szCs w:val="22"/>
        </w:rPr>
        <w:t xml:space="preserve">Associated Press, </w:t>
      </w:r>
      <w:r w:rsidR="00514AC2" w:rsidRPr="00E53E52">
        <w:rPr>
          <w:rFonts w:ascii="Century Schoolbook" w:hAnsi="Century Schoolbook"/>
          <w:i/>
          <w:sz w:val="22"/>
          <w:szCs w:val="22"/>
        </w:rPr>
        <w:t>Lack of Funds:</w:t>
      </w:r>
      <w:r w:rsidR="00810FDA" w:rsidRPr="00E53E52">
        <w:rPr>
          <w:rFonts w:ascii="Century Schoolbook" w:hAnsi="Century Schoolbook"/>
          <w:i/>
          <w:sz w:val="22"/>
          <w:szCs w:val="22"/>
        </w:rPr>
        <w:t xml:space="preserve"> </w:t>
      </w:r>
      <w:r w:rsidR="00514AC2" w:rsidRPr="00E53E52">
        <w:rPr>
          <w:rFonts w:ascii="Century Schoolbook" w:hAnsi="Century Schoolbook"/>
          <w:i/>
          <w:sz w:val="22"/>
          <w:szCs w:val="22"/>
        </w:rPr>
        <w:t>World Food Programme Drops Aid to One-third of Syrian Refugees</w:t>
      </w:r>
      <w:r w:rsidR="00514AC2" w:rsidRPr="00E53E52">
        <w:rPr>
          <w:rFonts w:ascii="Century Schoolbook" w:hAnsi="Century Schoolbook"/>
          <w:sz w:val="22"/>
          <w:szCs w:val="22"/>
        </w:rPr>
        <w:t>, The Guardian, Sept. 4, 2015.</w:t>
      </w:r>
      <w:r w:rsidR="00810FDA" w:rsidRPr="00E53E52">
        <w:rPr>
          <w:rFonts w:ascii="Century Schoolbook" w:hAnsi="Century Schoolbook"/>
          <w:sz w:val="22"/>
          <w:szCs w:val="22"/>
        </w:rPr>
        <w:t xml:space="preserve"> </w:t>
      </w:r>
      <w:r w:rsidRPr="00E53E52">
        <w:rPr>
          <w:rFonts w:ascii="Century Schoolbook" w:hAnsi="Century Schoolbook"/>
          <w:sz w:val="22"/>
          <w:szCs w:val="22"/>
        </w:rPr>
        <w:t xml:space="preserve">Multiple factors – the </w:t>
      </w:r>
      <w:r w:rsidRPr="00E53E52">
        <w:rPr>
          <w:rFonts w:ascii="Century Schoolbook" w:hAnsi="Century Schoolbook"/>
          <w:sz w:val="22"/>
          <w:szCs w:val="22"/>
        </w:rPr>
        <w:lastRenderedPageBreak/>
        <w:t>seemingly endless duration of the civil war, the lack of employment opportunities, the depletion of savings, and the food cuts –</w:t>
      </w:r>
      <w:r w:rsidR="00514AC2" w:rsidRPr="00E53E52">
        <w:rPr>
          <w:rFonts w:ascii="Century Schoolbook" w:hAnsi="Century Schoolbook"/>
          <w:sz w:val="22"/>
          <w:szCs w:val="22"/>
        </w:rPr>
        <w:t xml:space="preserve"> </w:t>
      </w:r>
      <w:r w:rsidRPr="00E53E52">
        <w:rPr>
          <w:rFonts w:ascii="Century Schoolbook" w:hAnsi="Century Schoolbook"/>
          <w:sz w:val="22"/>
          <w:szCs w:val="22"/>
        </w:rPr>
        <w:t>contributed to the decisions of many Syrian refugees to seek safety in Europe.</w:t>
      </w:r>
      <w:r w:rsidR="00810FDA" w:rsidRPr="00E53E52">
        <w:rPr>
          <w:rFonts w:ascii="Century Schoolbook" w:hAnsi="Century Schoolbook"/>
          <w:sz w:val="22"/>
          <w:szCs w:val="22"/>
        </w:rPr>
        <w:t xml:space="preserve"> </w:t>
      </w:r>
      <w:r w:rsidR="00AB49D0" w:rsidRPr="00E53E52">
        <w:rPr>
          <w:rFonts w:ascii="Century Schoolbook" w:hAnsi="Century Schoolbook"/>
          <w:sz w:val="22"/>
          <w:szCs w:val="22"/>
        </w:rPr>
        <w:t>By the end of 2015, more than 856,000 individuals had arrived in Greece by sea.</w:t>
      </w:r>
      <w:r w:rsidR="00810FDA" w:rsidRPr="00E53E52">
        <w:rPr>
          <w:rFonts w:ascii="Century Schoolbook" w:hAnsi="Century Schoolbook"/>
          <w:sz w:val="22"/>
          <w:szCs w:val="22"/>
        </w:rPr>
        <w:t xml:space="preserve"> </w:t>
      </w:r>
      <w:r w:rsidR="00AB49D0" w:rsidRPr="00E53E52">
        <w:rPr>
          <w:rFonts w:ascii="Century Schoolbook" w:hAnsi="Century Schoolbook"/>
          <w:sz w:val="22"/>
          <w:szCs w:val="22"/>
        </w:rPr>
        <w:t xml:space="preserve">UNHCR, </w:t>
      </w:r>
      <w:r w:rsidR="00AB49D0" w:rsidRPr="00E53E52">
        <w:rPr>
          <w:rFonts w:ascii="Century Schoolbook" w:hAnsi="Century Schoolbook"/>
          <w:i/>
          <w:sz w:val="22"/>
          <w:szCs w:val="22"/>
        </w:rPr>
        <w:t>Global Trend</w:t>
      </w:r>
      <w:r w:rsidR="00FF69FF" w:rsidRPr="00E53E52">
        <w:rPr>
          <w:rFonts w:ascii="Century Schoolbook" w:hAnsi="Century Schoolbook"/>
          <w:i/>
          <w:sz w:val="22"/>
          <w:szCs w:val="22"/>
        </w:rPr>
        <w:t>s: Forced Displacement in 2015</w:t>
      </w:r>
      <w:r w:rsidR="00FF69FF" w:rsidRPr="00E53E52">
        <w:rPr>
          <w:rFonts w:ascii="Century Schoolbook" w:hAnsi="Century Schoolbook"/>
          <w:sz w:val="22"/>
          <w:szCs w:val="22"/>
        </w:rPr>
        <w:t>, at 33.</w:t>
      </w:r>
      <w:r w:rsidR="00810FDA" w:rsidRPr="00E53E52">
        <w:rPr>
          <w:rFonts w:ascii="Century Schoolbook" w:hAnsi="Century Schoolbook"/>
          <w:sz w:val="22"/>
          <w:szCs w:val="22"/>
        </w:rPr>
        <w:t xml:space="preserve"> </w:t>
      </w:r>
      <w:r w:rsidR="00FF69FF" w:rsidRPr="00E53E52">
        <w:rPr>
          <w:rFonts w:ascii="Century Schoolbook" w:hAnsi="Century Schoolbook"/>
          <w:sz w:val="22"/>
          <w:szCs w:val="22"/>
        </w:rPr>
        <w:t>More</w:t>
      </w:r>
      <w:r w:rsidR="004E0E9A" w:rsidRPr="00E53E52">
        <w:rPr>
          <w:rFonts w:ascii="Century Schoolbook" w:hAnsi="Century Schoolbook"/>
          <w:sz w:val="22"/>
          <w:szCs w:val="22"/>
        </w:rPr>
        <w:t xml:space="preserve"> </w:t>
      </w:r>
      <w:r w:rsidR="00FF69FF" w:rsidRPr="00E53E52">
        <w:rPr>
          <w:rFonts w:ascii="Century Schoolbook" w:hAnsi="Century Schoolbook"/>
          <w:sz w:val="22"/>
          <w:szCs w:val="22"/>
        </w:rPr>
        <w:t>than 15</w:t>
      </w:r>
      <w:r w:rsidR="004E0E9A" w:rsidRPr="00E53E52">
        <w:rPr>
          <w:rFonts w:ascii="Century Schoolbook" w:hAnsi="Century Schoolbook"/>
          <w:sz w:val="22"/>
          <w:szCs w:val="22"/>
        </w:rPr>
        <w:t>3,000 had arrived by sea in Italy.</w:t>
      </w:r>
      <w:r w:rsidR="00810FDA" w:rsidRPr="00E53E52">
        <w:rPr>
          <w:rFonts w:ascii="Century Schoolbook" w:hAnsi="Century Schoolbook"/>
          <w:sz w:val="22"/>
          <w:szCs w:val="22"/>
        </w:rPr>
        <w:t xml:space="preserve"> </w:t>
      </w:r>
      <w:r w:rsidR="004E0E9A" w:rsidRPr="00E53E52">
        <w:rPr>
          <w:rFonts w:ascii="Century Schoolbook" w:hAnsi="Century Schoolbook"/>
          <w:i/>
          <w:sz w:val="22"/>
          <w:szCs w:val="22"/>
        </w:rPr>
        <w:t>Id.</w:t>
      </w:r>
      <w:r w:rsidR="00810FDA" w:rsidRPr="00E53E52">
        <w:rPr>
          <w:rFonts w:ascii="Century Schoolbook" w:hAnsi="Century Schoolbook"/>
          <w:sz w:val="22"/>
          <w:szCs w:val="22"/>
        </w:rPr>
        <w:t xml:space="preserve"> </w:t>
      </w:r>
      <w:r w:rsidR="00DF5F37" w:rsidRPr="00E53E52">
        <w:rPr>
          <w:rFonts w:ascii="Century Schoolbook" w:hAnsi="Century Schoolbook"/>
          <w:sz w:val="22"/>
          <w:szCs w:val="22"/>
        </w:rPr>
        <w:t>There were many incidents of disast</w:t>
      </w:r>
      <w:r w:rsidR="0072590C" w:rsidRPr="00E53E52">
        <w:rPr>
          <w:rFonts w:ascii="Century Schoolbook" w:hAnsi="Century Schoolbook"/>
          <w:sz w:val="22"/>
          <w:szCs w:val="22"/>
        </w:rPr>
        <w:t xml:space="preserve">ers at sea; </w:t>
      </w:r>
      <w:r w:rsidR="00DF5F37" w:rsidRPr="00E53E52">
        <w:rPr>
          <w:rFonts w:ascii="Century Schoolbook" w:hAnsi="Century Schoolbook"/>
          <w:sz w:val="22"/>
          <w:szCs w:val="22"/>
        </w:rPr>
        <w:t>r</w:t>
      </w:r>
      <w:r w:rsidR="000F1B54" w:rsidRPr="00E53E52">
        <w:rPr>
          <w:rFonts w:ascii="Century Schoolbook" w:hAnsi="Century Schoolbook"/>
          <w:sz w:val="22"/>
          <w:szCs w:val="22"/>
        </w:rPr>
        <w:t>oughly 4,000 people were reported dead or missing in the Mediterranean Sea</w:t>
      </w:r>
      <w:r w:rsidR="00A65E2C" w:rsidRPr="00E53E52">
        <w:rPr>
          <w:rFonts w:ascii="Century Schoolbook" w:hAnsi="Century Schoolbook"/>
          <w:sz w:val="22"/>
          <w:szCs w:val="22"/>
        </w:rPr>
        <w:t xml:space="preserve"> in 2015</w:t>
      </w:r>
      <w:r w:rsidR="000F1B54" w:rsidRPr="00E53E52">
        <w:rPr>
          <w:rFonts w:ascii="Century Schoolbook" w:hAnsi="Century Schoolbook"/>
          <w:sz w:val="22"/>
          <w:szCs w:val="22"/>
        </w:rPr>
        <w:t>.</w:t>
      </w:r>
      <w:r w:rsidR="00810FDA" w:rsidRPr="00E53E52">
        <w:rPr>
          <w:rFonts w:ascii="Century Schoolbook" w:hAnsi="Century Schoolbook"/>
          <w:sz w:val="22"/>
          <w:szCs w:val="22"/>
        </w:rPr>
        <w:t xml:space="preserve"> </w:t>
      </w:r>
      <w:r w:rsidR="000F1B54" w:rsidRPr="00E53E52">
        <w:rPr>
          <w:rFonts w:ascii="Century Schoolbook" w:hAnsi="Century Schoolbook"/>
          <w:i/>
          <w:sz w:val="22"/>
          <w:szCs w:val="22"/>
        </w:rPr>
        <w:t>Id</w:t>
      </w:r>
      <w:r w:rsidR="000F1B54" w:rsidRPr="00E53E52">
        <w:rPr>
          <w:rFonts w:ascii="Century Schoolbook" w:hAnsi="Century Schoolbook"/>
          <w:sz w:val="22"/>
          <w:szCs w:val="22"/>
        </w:rPr>
        <w:t>., at 32.</w:t>
      </w:r>
      <w:r w:rsidR="00810FDA" w:rsidRPr="00E53E52">
        <w:rPr>
          <w:rFonts w:ascii="Century Schoolbook" w:hAnsi="Century Schoolbook"/>
          <w:sz w:val="22"/>
          <w:szCs w:val="22"/>
        </w:rPr>
        <w:t xml:space="preserve"> </w:t>
      </w:r>
    </w:p>
    <w:p w14:paraId="2DF52349" w14:textId="0C3A906B" w:rsidR="000F152A" w:rsidRPr="00E53E52" w:rsidRDefault="00444655" w:rsidP="006C4D28">
      <w:pPr>
        <w:pStyle w:val="FootnoteText"/>
        <w:spacing w:after="120" w:line="276" w:lineRule="auto"/>
        <w:ind w:firstLine="720"/>
        <w:jc w:val="both"/>
        <w:rPr>
          <w:rFonts w:ascii="Century Schoolbook" w:hAnsi="Century Schoolbook"/>
          <w:sz w:val="22"/>
          <w:szCs w:val="22"/>
        </w:rPr>
      </w:pPr>
      <w:r w:rsidRPr="00E53E52">
        <w:rPr>
          <w:rFonts w:ascii="Century Schoolbook" w:hAnsi="Century Schoolbook"/>
          <w:sz w:val="22"/>
          <w:szCs w:val="22"/>
        </w:rPr>
        <w:t xml:space="preserve">In response </w:t>
      </w:r>
      <w:r w:rsidR="006E7AA6" w:rsidRPr="00E53E52">
        <w:rPr>
          <w:rFonts w:ascii="Century Schoolbook" w:hAnsi="Century Schoolbook"/>
          <w:sz w:val="22"/>
          <w:szCs w:val="22"/>
        </w:rPr>
        <w:t>to the 2015 surge in refugees</w:t>
      </w:r>
      <w:r w:rsidRPr="00E53E52">
        <w:rPr>
          <w:rFonts w:ascii="Century Schoolbook" w:hAnsi="Century Schoolbook"/>
          <w:sz w:val="22"/>
          <w:szCs w:val="22"/>
        </w:rPr>
        <w:t xml:space="preserve">, the European Union </w:t>
      </w:r>
      <w:r w:rsidR="005103A9" w:rsidRPr="00E53E52">
        <w:rPr>
          <w:rFonts w:ascii="Century Schoolbook" w:hAnsi="Century Schoolbook"/>
          <w:sz w:val="22"/>
          <w:szCs w:val="22"/>
        </w:rPr>
        <w:t>entered into negotiations with Turkey.</w:t>
      </w:r>
      <w:r w:rsidR="00810FDA" w:rsidRPr="00E53E52">
        <w:rPr>
          <w:rFonts w:ascii="Century Schoolbook" w:hAnsi="Century Schoolbook"/>
          <w:sz w:val="22"/>
          <w:szCs w:val="22"/>
        </w:rPr>
        <w:t xml:space="preserve"> </w:t>
      </w:r>
      <w:r w:rsidR="006E7AA6" w:rsidRPr="00E53E52">
        <w:rPr>
          <w:rFonts w:ascii="Century Schoolbook" w:hAnsi="Century Schoolbook"/>
          <w:sz w:val="22"/>
          <w:szCs w:val="22"/>
        </w:rPr>
        <w:t>In March 2016 Turkey agreed that all refugees crossing from Turkey to the Greece as of March 20, 2016 would be returned to Turkey, and in exchange, the European Union agreed to allow refugees from camps in Turkey to resettle in the European Union.</w:t>
      </w:r>
      <w:r w:rsidR="00810FDA" w:rsidRPr="00E53E52">
        <w:rPr>
          <w:rFonts w:ascii="Century Schoolbook" w:hAnsi="Century Schoolbook"/>
          <w:sz w:val="22"/>
          <w:szCs w:val="22"/>
        </w:rPr>
        <w:t xml:space="preserve"> </w:t>
      </w:r>
      <w:r w:rsidR="00A37C01" w:rsidRPr="00E53E52">
        <w:rPr>
          <w:rFonts w:ascii="Century Schoolbook" w:hAnsi="Century Schoolbook"/>
          <w:sz w:val="22"/>
          <w:szCs w:val="22"/>
        </w:rPr>
        <w:t xml:space="preserve">European Commission Press Release, Implementing the EU-Turkey Agreement, Apr. 4, 2016, </w:t>
      </w:r>
      <w:hyperlink r:id="rId11" w:history="1">
        <w:r w:rsidR="004563B3" w:rsidRPr="00E53E52">
          <w:rPr>
            <w:rStyle w:val="Hyperlink"/>
            <w:rFonts w:eastAsiaTheme="minorHAnsi"/>
            <w:sz w:val="22"/>
            <w:szCs w:val="22"/>
          </w:rPr>
          <w:t>http://europa.eu/rapid/press-release_MEMO-16-1221_en.htm</w:t>
        </w:r>
      </w:hyperlink>
      <w:r w:rsidR="004563B3" w:rsidRPr="00E53E52">
        <w:rPr>
          <w:rFonts w:ascii="Century Schoolbook" w:hAnsi="Century Schoolbook"/>
          <w:sz w:val="22"/>
          <w:szCs w:val="22"/>
        </w:rPr>
        <w:t xml:space="preserve">. </w:t>
      </w:r>
      <w:r w:rsidR="006E7AA6" w:rsidRPr="00E53E52">
        <w:rPr>
          <w:rFonts w:ascii="Century Schoolbook" w:hAnsi="Century Schoolbook"/>
          <w:sz w:val="22"/>
          <w:szCs w:val="22"/>
        </w:rPr>
        <w:t>After the agreement went into effect, the numbers of arrivals in Greece plummeted from 6,800 per day in October 2015 to 50 per day in May 2016.</w:t>
      </w:r>
      <w:r w:rsidR="00810FDA" w:rsidRPr="00E53E52">
        <w:rPr>
          <w:rFonts w:ascii="Century Schoolbook" w:hAnsi="Century Schoolbook"/>
          <w:sz w:val="22"/>
          <w:szCs w:val="22"/>
        </w:rPr>
        <w:t xml:space="preserve"> </w:t>
      </w:r>
      <w:r w:rsidR="00A37C01" w:rsidRPr="00E53E52">
        <w:rPr>
          <w:rFonts w:ascii="Century Schoolbook" w:hAnsi="Century Schoolbook"/>
          <w:sz w:val="22"/>
          <w:szCs w:val="22"/>
        </w:rPr>
        <w:t xml:space="preserve">Nektaria Stamouli, </w:t>
      </w:r>
      <w:r w:rsidR="00A37C01" w:rsidRPr="00E53E52">
        <w:rPr>
          <w:rFonts w:ascii="Century Schoolbook" w:hAnsi="Century Schoolbook"/>
          <w:i/>
          <w:sz w:val="22"/>
          <w:szCs w:val="22"/>
        </w:rPr>
        <w:t>Greece Struggles to Return Migrants Under EU-Turkey Deal</w:t>
      </w:r>
      <w:r w:rsidR="00A37C01" w:rsidRPr="00E53E52">
        <w:rPr>
          <w:rFonts w:ascii="Century Schoolbook" w:hAnsi="Century Schoolbook"/>
          <w:sz w:val="22"/>
          <w:szCs w:val="22"/>
        </w:rPr>
        <w:t>, Wall St. J</w:t>
      </w:r>
      <w:r w:rsidR="00E37B3A" w:rsidRPr="00E53E52">
        <w:rPr>
          <w:rFonts w:ascii="Century Schoolbook" w:hAnsi="Century Schoolbook"/>
          <w:sz w:val="22"/>
          <w:szCs w:val="22"/>
        </w:rPr>
        <w:t>.</w:t>
      </w:r>
      <w:r w:rsidR="00A37C01" w:rsidRPr="00E53E52">
        <w:rPr>
          <w:rFonts w:ascii="Century Schoolbook" w:hAnsi="Century Schoolbook"/>
          <w:sz w:val="22"/>
          <w:szCs w:val="22"/>
        </w:rPr>
        <w:t>, May 19, 2016.</w:t>
      </w:r>
      <w:r w:rsidR="00810FDA" w:rsidRPr="00E53E52">
        <w:rPr>
          <w:sz w:val="22"/>
          <w:szCs w:val="22"/>
        </w:rPr>
        <w:t xml:space="preserve"> </w:t>
      </w:r>
      <w:r w:rsidR="006E7AA6" w:rsidRPr="00E53E52">
        <w:rPr>
          <w:rFonts w:ascii="Century Schoolbook" w:hAnsi="Century Schoolbook"/>
          <w:sz w:val="22"/>
          <w:szCs w:val="22"/>
        </w:rPr>
        <w:t>The drop in the number of new arrivals has not been coupled with an increase in the number of those being returned to Turkey, however.</w:t>
      </w:r>
      <w:r w:rsidR="00810FDA" w:rsidRPr="00E53E52">
        <w:rPr>
          <w:rFonts w:ascii="Century Schoolbook" w:hAnsi="Century Schoolbook"/>
          <w:sz w:val="22"/>
          <w:szCs w:val="22"/>
        </w:rPr>
        <w:t xml:space="preserve"> </w:t>
      </w:r>
      <w:r w:rsidR="00F82A92" w:rsidRPr="00E53E52">
        <w:rPr>
          <w:rFonts w:ascii="Century Schoolbook" w:hAnsi="Century Schoolbook"/>
          <w:sz w:val="22"/>
          <w:szCs w:val="22"/>
        </w:rPr>
        <w:t xml:space="preserve">By the end of 2016, </w:t>
      </w:r>
      <w:r w:rsidR="006E7AA6" w:rsidRPr="00E53E52">
        <w:rPr>
          <w:rFonts w:ascii="Century Schoolbook" w:hAnsi="Century Schoolbook"/>
          <w:sz w:val="22"/>
          <w:szCs w:val="22"/>
        </w:rPr>
        <w:t>Greece ha</w:t>
      </w:r>
      <w:r w:rsidR="00F82A92" w:rsidRPr="00E53E52">
        <w:rPr>
          <w:rFonts w:ascii="Century Schoolbook" w:hAnsi="Century Schoolbook"/>
          <w:sz w:val="22"/>
          <w:szCs w:val="22"/>
        </w:rPr>
        <w:t>d</w:t>
      </w:r>
      <w:r w:rsidR="006E7AA6" w:rsidRPr="00E53E52">
        <w:rPr>
          <w:rFonts w:ascii="Century Schoolbook" w:hAnsi="Century Schoolbook"/>
          <w:sz w:val="22"/>
          <w:szCs w:val="22"/>
        </w:rPr>
        <w:t xml:space="preserve"> returned only </w:t>
      </w:r>
      <w:r w:rsidR="00F31983" w:rsidRPr="00E53E52">
        <w:rPr>
          <w:rFonts w:ascii="Century Schoolbook" w:hAnsi="Century Schoolbook"/>
          <w:sz w:val="22"/>
          <w:szCs w:val="22"/>
        </w:rPr>
        <w:t>865</w:t>
      </w:r>
      <w:r w:rsidR="00F82A92" w:rsidRPr="00E53E52">
        <w:rPr>
          <w:rFonts w:ascii="Century Schoolbook" w:hAnsi="Century Schoolbook"/>
          <w:sz w:val="22"/>
          <w:szCs w:val="22"/>
        </w:rPr>
        <w:t xml:space="preserve"> </w:t>
      </w:r>
      <w:r w:rsidR="006E7AA6" w:rsidRPr="00E53E52">
        <w:rPr>
          <w:rFonts w:ascii="Century Schoolbook" w:hAnsi="Century Schoolbook"/>
          <w:sz w:val="22"/>
          <w:szCs w:val="22"/>
        </w:rPr>
        <w:t xml:space="preserve">migrants to Turkey </w:t>
      </w:r>
      <w:r w:rsidR="00F31983" w:rsidRPr="00E53E52">
        <w:rPr>
          <w:rFonts w:ascii="Century Schoolbook" w:hAnsi="Century Schoolbook"/>
          <w:sz w:val="22"/>
          <w:szCs w:val="22"/>
        </w:rPr>
        <w:t>pursuant to the agreement</w:t>
      </w:r>
      <w:r w:rsidR="006E7AA6" w:rsidRPr="00E53E52">
        <w:rPr>
          <w:rFonts w:ascii="Century Schoolbook" w:hAnsi="Century Schoolbook"/>
          <w:sz w:val="22"/>
          <w:szCs w:val="22"/>
        </w:rPr>
        <w:t>.</w:t>
      </w:r>
      <w:r w:rsidR="00810FDA" w:rsidRPr="00E53E52">
        <w:rPr>
          <w:rFonts w:ascii="Century Schoolbook" w:hAnsi="Century Schoolbook"/>
          <w:i/>
          <w:sz w:val="22"/>
          <w:szCs w:val="22"/>
        </w:rPr>
        <w:t xml:space="preserve"> </w:t>
      </w:r>
      <w:r w:rsidR="00F31983" w:rsidRPr="00E53E52">
        <w:rPr>
          <w:rFonts w:ascii="Century Schoolbook" w:hAnsi="Century Schoolbook"/>
          <w:sz w:val="22"/>
          <w:szCs w:val="22"/>
        </w:rPr>
        <w:t xml:space="preserve">Apostolis </w:t>
      </w:r>
      <w:r w:rsidR="00DE7A77" w:rsidRPr="00E53E52">
        <w:rPr>
          <w:rFonts w:ascii="Century Schoolbook" w:hAnsi="Century Schoolbook"/>
          <w:sz w:val="22"/>
          <w:szCs w:val="22"/>
        </w:rPr>
        <w:t xml:space="preserve">Fotiadas, </w:t>
      </w:r>
      <w:r w:rsidR="00DE7A77" w:rsidRPr="00E53E52">
        <w:rPr>
          <w:rFonts w:ascii="Century Schoolbook" w:hAnsi="Century Schoolbook"/>
          <w:i/>
          <w:sz w:val="22"/>
          <w:szCs w:val="22"/>
        </w:rPr>
        <w:t>Greece Plans to Fast Track Asylum Claims to Save EU-Turkey Deal</w:t>
      </w:r>
      <w:r w:rsidR="00DE7A77" w:rsidRPr="00E53E52">
        <w:rPr>
          <w:rFonts w:ascii="Century Schoolbook" w:hAnsi="Century Schoolbook"/>
          <w:sz w:val="22"/>
          <w:szCs w:val="22"/>
        </w:rPr>
        <w:t xml:space="preserve">, </w:t>
      </w:r>
      <w:r w:rsidR="00431DEB" w:rsidRPr="00E53E52">
        <w:rPr>
          <w:rFonts w:ascii="Century Schoolbook" w:hAnsi="Century Schoolbook"/>
          <w:sz w:val="22"/>
          <w:szCs w:val="22"/>
        </w:rPr>
        <w:t>News Deeply, Jan. 30, 2017</w:t>
      </w:r>
      <w:r w:rsidR="008C7456" w:rsidRPr="00E53E52">
        <w:rPr>
          <w:rFonts w:ascii="Century Schoolbook" w:hAnsi="Century Schoolbook"/>
          <w:sz w:val="22"/>
          <w:szCs w:val="22"/>
        </w:rPr>
        <w:t xml:space="preserve">, </w:t>
      </w:r>
      <w:r w:rsidR="00AD6472" w:rsidRPr="00E53E52">
        <w:rPr>
          <w:rFonts w:ascii="Century Schoolbook" w:hAnsi="Century Schoolbook"/>
          <w:sz w:val="22"/>
          <w:szCs w:val="22"/>
        </w:rPr>
        <w:t>https://www.newsdeeply.com/refugees/articles/2017/01/30/greece-plans-to-fast-track-asylum-claims-to-save-e-u-turkey-deal</w:t>
      </w:r>
      <w:r w:rsidR="00431DEB" w:rsidRPr="00E53E52">
        <w:rPr>
          <w:rFonts w:ascii="Century Schoolbook" w:hAnsi="Century Schoolbook"/>
          <w:sz w:val="22"/>
          <w:szCs w:val="22"/>
        </w:rPr>
        <w:t>.</w:t>
      </w:r>
      <w:r w:rsidR="00810FDA" w:rsidRPr="00E53E52">
        <w:rPr>
          <w:rFonts w:ascii="Century Schoolbook" w:hAnsi="Century Schoolbook"/>
          <w:sz w:val="22"/>
          <w:szCs w:val="22"/>
        </w:rPr>
        <w:t xml:space="preserve"> </w:t>
      </w:r>
      <w:r w:rsidR="006E7AA6" w:rsidRPr="00E53E52">
        <w:rPr>
          <w:rFonts w:ascii="Century Schoolbook" w:hAnsi="Century Schoolbook"/>
          <w:sz w:val="22"/>
          <w:szCs w:val="22"/>
        </w:rPr>
        <w:t>Furthermore, many asylum seekers in Greece have charged that it would be unsafe to return them to Turkey.</w:t>
      </w:r>
      <w:r w:rsidR="00810FDA" w:rsidRPr="00E53E52">
        <w:rPr>
          <w:rFonts w:ascii="Century Schoolbook" w:hAnsi="Century Schoolbook"/>
          <w:sz w:val="22"/>
          <w:szCs w:val="22"/>
        </w:rPr>
        <w:t xml:space="preserve"> </w:t>
      </w:r>
      <w:r w:rsidR="006E7AA6" w:rsidRPr="00E53E52">
        <w:rPr>
          <w:rFonts w:ascii="Century Schoolbook" w:hAnsi="Century Schoolbook"/>
          <w:sz w:val="22"/>
          <w:szCs w:val="22"/>
        </w:rPr>
        <w:t xml:space="preserve">By </w:t>
      </w:r>
      <w:r w:rsidR="0073438F" w:rsidRPr="00E53E52">
        <w:rPr>
          <w:rFonts w:ascii="Century Schoolbook" w:hAnsi="Century Schoolbook"/>
          <w:sz w:val="22"/>
          <w:szCs w:val="22"/>
        </w:rPr>
        <w:t>the end of 2016</w:t>
      </w:r>
      <w:r w:rsidR="006E7AA6" w:rsidRPr="00E53E52">
        <w:rPr>
          <w:rFonts w:ascii="Century Schoolbook" w:hAnsi="Century Schoolbook"/>
          <w:sz w:val="22"/>
          <w:szCs w:val="22"/>
        </w:rPr>
        <w:t xml:space="preserve"> Greece had </w:t>
      </w:r>
      <w:r w:rsidR="00632154" w:rsidRPr="00E53E52">
        <w:rPr>
          <w:rFonts w:ascii="Century Schoolbook" w:hAnsi="Century Schoolbook"/>
          <w:sz w:val="22"/>
          <w:szCs w:val="22"/>
        </w:rPr>
        <w:t xml:space="preserve">received 51,000 asylum applications, and had </w:t>
      </w:r>
      <w:r w:rsidR="006E7AA6" w:rsidRPr="00E53E52">
        <w:rPr>
          <w:rFonts w:ascii="Century Schoolbook" w:hAnsi="Century Schoolbook"/>
          <w:sz w:val="22"/>
          <w:szCs w:val="22"/>
        </w:rPr>
        <w:t xml:space="preserve">only </w:t>
      </w:r>
      <w:r w:rsidR="004741D3" w:rsidRPr="00E53E52">
        <w:rPr>
          <w:rFonts w:ascii="Century Schoolbook" w:hAnsi="Century Schoolbook"/>
          <w:sz w:val="22"/>
          <w:szCs w:val="22"/>
        </w:rPr>
        <w:t xml:space="preserve">decided 9,000; </w:t>
      </w:r>
      <w:r w:rsidR="00632154" w:rsidRPr="00E53E52">
        <w:rPr>
          <w:rFonts w:ascii="Century Schoolbook" w:hAnsi="Century Schoolbook"/>
          <w:sz w:val="22"/>
          <w:szCs w:val="22"/>
        </w:rPr>
        <w:t>2,500 were granted protection</w:t>
      </w:r>
      <w:r w:rsidR="004741D3" w:rsidRPr="00E53E52">
        <w:rPr>
          <w:rFonts w:ascii="Century Schoolbook" w:hAnsi="Century Schoolbook"/>
          <w:sz w:val="22"/>
          <w:szCs w:val="22"/>
        </w:rPr>
        <w:t xml:space="preserve"> and 6,500 were rejected</w:t>
      </w:r>
      <w:r w:rsidR="006E7AA6" w:rsidRPr="00E53E52">
        <w:rPr>
          <w:rFonts w:ascii="Century Schoolbook" w:hAnsi="Century Schoolbook"/>
          <w:sz w:val="22"/>
          <w:szCs w:val="22"/>
        </w:rPr>
        <w:t>.</w:t>
      </w:r>
      <w:r w:rsidR="004741D3" w:rsidRPr="00E53E52">
        <w:rPr>
          <w:rFonts w:ascii="Century Schoolbook" w:hAnsi="Century Schoolbook"/>
          <w:sz w:val="22"/>
          <w:szCs w:val="22"/>
        </w:rPr>
        <w:t xml:space="preserve"> </w:t>
      </w:r>
      <w:r w:rsidR="00461BB6" w:rsidRPr="00E53E52">
        <w:rPr>
          <w:rFonts w:ascii="Century Schoolbook" w:hAnsi="Century Schoolbook"/>
          <w:sz w:val="22"/>
          <w:szCs w:val="22"/>
        </w:rPr>
        <w:t xml:space="preserve">European Council of Refugees and Exiles, </w:t>
      </w:r>
      <w:r w:rsidR="00CF297D" w:rsidRPr="00E53E52">
        <w:rPr>
          <w:rFonts w:ascii="Century Schoolbook" w:hAnsi="Century Schoolbook"/>
          <w:sz w:val="22"/>
          <w:szCs w:val="22"/>
        </w:rPr>
        <w:t>Asylum Information</w:t>
      </w:r>
      <w:r w:rsidR="00810FDA" w:rsidRPr="00E53E52">
        <w:rPr>
          <w:rFonts w:ascii="Century Schoolbook" w:hAnsi="Century Schoolbook"/>
          <w:sz w:val="22"/>
          <w:szCs w:val="22"/>
        </w:rPr>
        <w:t xml:space="preserve"> </w:t>
      </w:r>
      <w:r w:rsidR="00CF297D" w:rsidRPr="00E53E52">
        <w:rPr>
          <w:rFonts w:ascii="Century Schoolbook" w:hAnsi="Century Schoolbook"/>
          <w:sz w:val="22"/>
          <w:szCs w:val="22"/>
        </w:rPr>
        <w:t xml:space="preserve">Database, </w:t>
      </w:r>
      <w:r w:rsidR="005E186F" w:rsidRPr="00E53E52">
        <w:rPr>
          <w:rFonts w:ascii="Century Schoolbook" w:hAnsi="Century Schoolbook"/>
          <w:i/>
          <w:sz w:val="22"/>
          <w:szCs w:val="22"/>
        </w:rPr>
        <w:t>Country Report: Greece, 2016 Update</w:t>
      </w:r>
      <w:r w:rsidR="005E186F" w:rsidRPr="00E53E52">
        <w:rPr>
          <w:rFonts w:ascii="Century Schoolbook" w:hAnsi="Century Schoolbook"/>
          <w:sz w:val="22"/>
          <w:szCs w:val="22"/>
        </w:rPr>
        <w:t xml:space="preserve">, </w:t>
      </w:r>
      <w:hyperlink r:id="rId12" w:history="1">
        <w:r w:rsidR="00461BB6" w:rsidRPr="00E53E52">
          <w:rPr>
            <w:rStyle w:val="Hyperlink"/>
            <w:rFonts w:eastAsiaTheme="minorHAnsi" w:cstheme="minorBidi"/>
            <w:sz w:val="22"/>
            <w:szCs w:val="22"/>
          </w:rPr>
          <w:t>http://www.asylumineurope.org/sites/default/files/report-download/aida_gr_2016update.pdf</w:t>
        </w:r>
      </w:hyperlink>
      <w:r w:rsidR="00461BB6" w:rsidRPr="00E53E52">
        <w:rPr>
          <w:rFonts w:ascii="Century Schoolbook" w:hAnsi="Century Schoolbook"/>
          <w:sz w:val="22"/>
          <w:szCs w:val="22"/>
        </w:rPr>
        <w:t>.</w:t>
      </w:r>
      <w:r w:rsidR="00810FDA" w:rsidRPr="00E53E52">
        <w:rPr>
          <w:rFonts w:ascii="Century Schoolbook" w:hAnsi="Century Schoolbook"/>
          <w:sz w:val="22"/>
          <w:szCs w:val="22"/>
        </w:rPr>
        <w:t xml:space="preserve"> </w:t>
      </w:r>
      <w:r w:rsidR="006E7AA6" w:rsidRPr="00E53E52">
        <w:rPr>
          <w:rFonts w:ascii="Century Schoolbook" w:hAnsi="Century Schoolbook"/>
          <w:sz w:val="22"/>
          <w:szCs w:val="22"/>
        </w:rPr>
        <w:t>The combination of slow processing times and court rulings that Turkey is not be a safe country to which the claimants can be returned is worrisome for those who thought the EU-Turkey deal would reverse the refugee flows to Europe.</w:t>
      </w:r>
      <w:r w:rsidR="00810FDA" w:rsidRPr="00E53E52">
        <w:rPr>
          <w:rFonts w:ascii="Century Schoolbook" w:hAnsi="Century Schoolbook"/>
          <w:sz w:val="22"/>
          <w:szCs w:val="22"/>
        </w:rPr>
        <w:t xml:space="preserve"> </w:t>
      </w:r>
    </w:p>
    <w:p w14:paraId="172FE405" w14:textId="06618C17" w:rsidR="006E7AA6" w:rsidRPr="00E53E52" w:rsidRDefault="00686536" w:rsidP="006C4D28">
      <w:pPr>
        <w:pStyle w:val="FootnoteText"/>
        <w:spacing w:after="120" w:line="276" w:lineRule="auto"/>
        <w:ind w:firstLine="720"/>
        <w:jc w:val="both"/>
        <w:rPr>
          <w:rFonts w:ascii="Century Schoolbook" w:hAnsi="Century Schoolbook"/>
          <w:sz w:val="22"/>
          <w:szCs w:val="22"/>
        </w:rPr>
      </w:pPr>
      <w:r w:rsidRPr="00E53E52">
        <w:rPr>
          <w:rFonts w:ascii="Century Schoolbook" w:hAnsi="Century Schoolbook"/>
          <w:sz w:val="22"/>
          <w:szCs w:val="22"/>
        </w:rPr>
        <w:t>In 2016 the migration routes to Europe</w:t>
      </w:r>
      <w:r w:rsidR="000F152A" w:rsidRPr="00E53E52">
        <w:rPr>
          <w:rFonts w:ascii="Century Schoolbook" w:hAnsi="Century Schoolbook"/>
          <w:sz w:val="22"/>
          <w:szCs w:val="22"/>
        </w:rPr>
        <w:t xml:space="preserve"> shifted away from </w:t>
      </w:r>
      <w:r w:rsidR="006378CB" w:rsidRPr="00E53E52">
        <w:rPr>
          <w:rFonts w:ascii="Century Schoolbook" w:hAnsi="Century Schoolbook"/>
          <w:sz w:val="22"/>
          <w:szCs w:val="22"/>
        </w:rPr>
        <w:t>the Aegean.</w:t>
      </w:r>
      <w:r w:rsidR="00810FDA" w:rsidRPr="00E53E52">
        <w:rPr>
          <w:rFonts w:ascii="Century Schoolbook" w:hAnsi="Century Schoolbook"/>
          <w:sz w:val="22"/>
          <w:szCs w:val="22"/>
        </w:rPr>
        <w:t xml:space="preserve"> </w:t>
      </w:r>
      <w:r w:rsidR="006378CB" w:rsidRPr="00E53E52">
        <w:rPr>
          <w:rFonts w:ascii="Century Schoolbook" w:hAnsi="Century Schoolbook"/>
          <w:sz w:val="22"/>
          <w:szCs w:val="22"/>
        </w:rPr>
        <w:t xml:space="preserve">More than 180,000 asylum seekers traveled from Africa to Italy, </w:t>
      </w:r>
      <w:r w:rsidR="00995E55" w:rsidRPr="00E53E52">
        <w:rPr>
          <w:rFonts w:ascii="Century Schoolbook" w:hAnsi="Century Schoolbook"/>
          <w:sz w:val="22"/>
          <w:szCs w:val="22"/>
        </w:rPr>
        <w:t>setting a new record.</w:t>
      </w:r>
      <w:r w:rsidR="00810FDA" w:rsidRPr="00E53E52">
        <w:rPr>
          <w:rFonts w:ascii="Century Schoolbook" w:hAnsi="Century Schoolbook"/>
          <w:sz w:val="22"/>
          <w:szCs w:val="22"/>
        </w:rPr>
        <w:t xml:space="preserve"> </w:t>
      </w:r>
      <w:r w:rsidR="00EC3987" w:rsidRPr="00E53E52">
        <w:rPr>
          <w:rFonts w:ascii="Century Schoolbook" w:hAnsi="Century Schoolbook"/>
          <w:sz w:val="22"/>
          <w:szCs w:val="22"/>
        </w:rPr>
        <w:t xml:space="preserve">Anna Momigliano, </w:t>
      </w:r>
      <w:r w:rsidR="00AD1EDB" w:rsidRPr="00E53E52">
        <w:rPr>
          <w:rFonts w:ascii="Century Schoolbook" w:hAnsi="Century Schoolbook"/>
          <w:i/>
          <w:sz w:val="22"/>
          <w:szCs w:val="22"/>
        </w:rPr>
        <w:t xml:space="preserve">Italy May Require </w:t>
      </w:r>
      <w:r w:rsidRPr="00E53E52">
        <w:rPr>
          <w:rFonts w:ascii="Century Schoolbook" w:hAnsi="Century Schoolbook"/>
          <w:i/>
          <w:sz w:val="22"/>
          <w:szCs w:val="22"/>
        </w:rPr>
        <w:t>Asylum Seekers to D</w:t>
      </w:r>
      <w:r w:rsidR="00AD1EDB" w:rsidRPr="00E53E52">
        <w:rPr>
          <w:rFonts w:ascii="Century Schoolbook" w:hAnsi="Century Schoolbook"/>
          <w:i/>
          <w:sz w:val="22"/>
          <w:szCs w:val="22"/>
        </w:rPr>
        <w:t>o Community Service</w:t>
      </w:r>
      <w:r w:rsidR="00AD1EDB" w:rsidRPr="00E53E52">
        <w:rPr>
          <w:rFonts w:ascii="Century Schoolbook" w:hAnsi="Century Schoolbook"/>
          <w:sz w:val="22"/>
          <w:szCs w:val="22"/>
        </w:rPr>
        <w:t xml:space="preserve">, </w:t>
      </w:r>
      <w:r w:rsidR="00EC3987" w:rsidRPr="00E53E52">
        <w:rPr>
          <w:rFonts w:ascii="Century Schoolbook" w:hAnsi="Century Schoolbook"/>
          <w:sz w:val="22"/>
          <w:szCs w:val="22"/>
        </w:rPr>
        <w:t>Washington Post,</w:t>
      </w:r>
      <w:r w:rsidRPr="00E53E52">
        <w:rPr>
          <w:rFonts w:ascii="Century Schoolbook" w:hAnsi="Century Schoolbook"/>
          <w:sz w:val="22"/>
          <w:szCs w:val="22"/>
        </w:rPr>
        <w:t xml:space="preserve"> J</w:t>
      </w:r>
      <w:r w:rsidR="00AD1EDB" w:rsidRPr="00E53E52">
        <w:rPr>
          <w:rFonts w:ascii="Century Schoolbook" w:hAnsi="Century Schoolbook"/>
          <w:sz w:val="22"/>
          <w:szCs w:val="22"/>
        </w:rPr>
        <w:t>an. 25, 2017.</w:t>
      </w:r>
      <w:r w:rsidR="00810FDA" w:rsidRPr="00E53E52">
        <w:rPr>
          <w:rFonts w:ascii="Century Schoolbook" w:hAnsi="Century Schoolbook"/>
          <w:sz w:val="22"/>
          <w:szCs w:val="22"/>
        </w:rPr>
        <w:t xml:space="preserve"> </w:t>
      </w:r>
      <w:r w:rsidR="00995E55" w:rsidRPr="00E53E52">
        <w:rPr>
          <w:rFonts w:ascii="Century Schoolbook" w:hAnsi="Century Schoolbook"/>
          <w:sz w:val="22"/>
          <w:szCs w:val="22"/>
        </w:rPr>
        <w:t xml:space="preserve">The Mediterranean route is far more dangerous, and the number of </w:t>
      </w:r>
      <w:r w:rsidR="00C73834" w:rsidRPr="00E53E52">
        <w:rPr>
          <w:rFonts w:ascii="Century Schoolbook" w:hAnsi="Century Schoolbook"/>
          <w:sz w:val="22"/>
          <w:szCs w:val="22"/>
        </w:rPr>
        <w:t xml:space="preserve">drownings rose to </w:t>
      </w:r>
      <w:r w:rsidR="00661AD1" w:rsidRPr="00E53E52">
        <w:rPr>
          <w:rFonts w:ascii="Century Schoolbook" w:hAnsi="Century Schoolbook"/>
          <w:sz w:val="22"/>
          <w:szCs w:val="22"/>
        </w:rPr>
        <w:t>more than</w:t>
      </w:r>
      <w:r w:rsidR="00995E55" w:rsidRPr="00E53E52">
        <w:rPr>
          <w:rFonts w:ascii="Century Schoolbook" w:hAnsi="Century Schoolbook"/>
          <w:sz w:val="22"/>
          <w:szCs w:val="22"/>
        </w:rPr>
        <w:t xml:space="preserve"> </w:t>
      </w:r>
      <w:r w:rsidR="00661AD1" w:rsidRPr="00E53E52">
        <w:rPr>
          <w:rFonts w:ascii="Century Schoolbook" w:hAnsi="Century Schoolbook"/>
          <w:sz w:val="22"/>
          <w:szCs w:val="22"/>
        </w:rPr>
        <w:t>5,000</w:t>
      </w:r>
      <w:r w:rsidR="00A3122B" w:rsidRPr="00E53E52">
        <w:rPr>
          <w:rFonts w:ascii="Century Schoolbook" w:hAnsi="Century Schoolbook"/>
          <w:sz w:val="22"/>
          <w:szCs w:val="22"/>
        </w:rPr>
        <w:t xml:space="preserve"> in 2016</w:t>
      </w:r>
      <w:r w:rsidR="00C73834" w:rsidRPr="00E53E52">
        <w:rPr>
          <w:rFonts w:ascii="Century Schoolbook" w:hAnsi="Century Schoolbook"/>
          <w:sz w:val="22"/>
          <w:szCs w:val="22"/>
        </w:rPr>
        <w:t>.</w:t>
      </w:r>
      <w:r w:rsidR="00810FDA" w:rsidRPr="00E53E52">
        <w:rPr>
          <w:rFonts w:ascii="Century Schoolbook" w:hAnsi="Century Schoolbook"/>
          <w:sz w:val="22"/>
          <w:szCs w:val="22"/>
        </w:rPr>
        <w:t xml:space="preserve"> </w:t>
      </w:r>
      <w:r w:rsidR="005F70BE" w:rsidRPr="00E53E52">
        <w:rPr>
          <w:rFonts w:ascii="Century Schoolbook" w:hAnsi="Century Schoolbook"/>
          <w:i/>
          <w:sz w:val="22"/>
          <w:szCs w:val="22"/>
        </w:rPr>
        <w:t>Mediterranean Migrant Deaths in 2016 Pass 5,000</w:t>
      </w:r>
      <w:r w:rsidR="00661AD1" w:rsidRPr="00E53E52">
        <w:rPr>
          <w:rFonts w:ascii="Century Schoolbook" w:hAnsi="Century Schoolbook"/>
          <w:i/>
          <w:sz w:val="22"/>
          <w:szCs w:val="22"/>
        </w:rPr>
        <w:t>:</w:t>
      </w:r>
      <w:r w:rsidR="00810FDA" w:rsidRPr="00E53E52">
        <w:rPr>
          <w:rFonts w:ascii="Century Schoolbook" w:hAnsi="Century Schoolbook"/>
          <w:i/>
          <w:sz w:val="22"/>
          <w:szCs w:val="22"/>
        </w:rPr>
        <w:t xml:space="preserve"> </w:t>
      </w:r>
      <w:r w:rsidR="00661AD1" w:rsidRPr="00E53E52">
        <w:rPr>
          <w:rFonts w:ascii="Century Schoolbook" w:hAnsi="Century Schoolbook"/>
          <w:i/>
          <w:sz w:val="22"/>
          <w:szCs w:val="22"/>
        </w:rPr>
        <w:t>UN</w:t>
      </w:r>
      <w:r w:rsidR="005F70BE" w:rsidRPr="00E53E52">
        <w:rPr>
          <w:rFonts w:ascii="Century Schoolbook" w:hAnsi="Century Schoolbook"/>
          <w:sz w:val="22"/>
          <w:szCs w:val="22"/>
        </w:rPr>
        <w:t xml:space="preserve">, Al Jazeera, </w:t>
      </w:r>
      <w:r w:rsidR="00661AD1" w:rsidRPr="00E53E52">
        <w:rPr>
          <w:rFonts w:ascii="Century Schoolbook" w:hAnsi="Century Schoolbook"/>
          <w:sz w:val="22"/>
          <w:szCs w:val="22"/>
        </w:rPr>
        <w:t xml:space="preserve">Dec. 23, 2016. </w:t>
      </w:r>
      <w:r w:rsidR="004A5031" w:rsidRPr="00E53E52">
        <w:rPr>
          <w:rFonts w:ascii="Century Schoolbook" w:hAnsi="Century Schoolbook"/>
          <w:sz w:val="22"/>
          <w:szCs w:val="22"/>
        </w:rPr>
        <w:t xml:space="preserve">The first six months of </w:t>
      </w:r>
      <w:r w:rsidR="00B41122" w:rsidRPr="00E53E52">
        <w:rPr>
          <w:rFonts w:ascii="Century Schoolbook" w:hAnsi="Century Schoolbook"/>
          <w:sz w:val="22"/>
          <w:szCs w:val="22"/>
        </w:rPr>
        <w:t>2017</w:t>
      </w:r>
      <w:r w:rsidR="004A5031" w:rsidRPr="00E53E52">
        <w:rPr>
          <w:rFonts w:ascii="Century Schoolbook" w:hAnsi="Century Schoolbook"/>
          <w:sz w:val="22"/>
          <w:szCs w:val="22"/>
        </w:rPr>
        <w:t xml:space="preserve"> </w:t>
      </w:r>
      <w:r w:rsidR="008D670D" w:rsidRPr="00E53E52">
        <w:rPr>
          <w:rFonts w:ascii="Century Schoolbook" w:hAnsi="Century Schoolbook"/>
          <w:sz w:val="22"/>
          <w:szCs w:val="22"/>
        </w:rPr>
        <w:t>appear similar to 2016;</w:t>
      </w:r>
      <w:r w:rsidR="00810FDA" w:rsidRPr="00E53E52">
        <w:rPr>
          <w:rFonts w:ascii="Century Schoolbook" w:hAnsi="Century Schoolbook"/>
          <w:sz w:val="22"/>
          <w:szCs w:val="22"/>
        </w:rPr>
        <w:t xml:space="preserve"> </w:t>
      </w:r>
      <w:r w:rsidR="002320E2" w:rsidRPr="00E53E52">
        <w:rPr>
          <w:rFonts w:ascii="Century Schoolbook" w:hAnsi="Century Schoolbook"/>
          <w:sz w:val="22"/>
          <w:szCs w:val="22"/>
        </w:rPr>
        <w:t xml:space="preserve">112,00 </w:t>
      </w:r>
      <w:r w:rsidR="001B1178" w:rsidRPr="00E53E52">
        <w:rPr>
          <w:rFonts w:ascii="Century Schoolbook" w:hAnsi="Century Schoolbook"/>
          <w:sz w:val="22"/>
          <w:szCs w:val="22"/>
        </w:rPr>
        <w:t xml:space="preserve">migrants and refugees </w:t>
      </w:r>
      <w:r w:rsidR="002320E2" w:rsidRPr="00E53E52">
        <w:rPr>
          <w:rFonts w:ascii="Century Schoolbook" w:hAnsi="Century Schoolbook"/>
          <w:sz w:val="22"/>
          <w:szCs w:val="22"/>
        </w:rPr>
        <w:t>have entered Europe by sea, wit</w:t>
      </w:r>
      <w:r w:rsidR="007C7E0A" w:rsidRPr="00E53E52">
        <w:rPr>
          <w:rFonts w:ascii="Century Schoolbook" w:hAnsi="Century Schoolbook"/>
          <w:sz w:val="22"/>
          <w:szCs w:val="22"/>
        </w:rPr>
        <w:t>h 85 percent arriving in Italy, and the rest reaching Greece, Cyprus, and Spain.</w:t>
      </w:r>
      <w:r w:rsidR="00810FDA" w:rsidRPr="00E53E52">
        <w:rPr>
          <w:rFonts w:ascii="Century Schoolbook" w:hAnsi="Century Schoolbook"/>
          <w:sz w:val="22"/>
          <w:szCs w:val="22"/>
        </w:rPr>
        <w:t xml:space="preserve"> </w:t>
      </w:r>
      <w:r w:rsidR="008D670D" w:rsidRPr="00E53E52">
        <w:rPr>
          <w:rFonts w:ascii="Century Schoolbook" w:hAnsi="Century Schoolbook"/>
          <w:sz w:val="22"/>
          <w:szCs w:val="22"/>
        </w:rPr>
        <w:t xml:space="preserve">More than 2,300 </w:t>
      </w:r>
      <w:r w:rsidR="007C7E0A" w:rsidRPr="00E53E52">
        <w:rPr>
          <w:rFonts w:ascii="Century Schoolbook" w:hAnsi="Century Schoolbook"/>
          <w:sz w:val="22"/>
          <w:szCs w:val="22"/>
        </w:rPr>
        <w:t xml:space="preserve">have died </w:t>
      </w:r>
      <w:r w:rsidR="001B1178" w:rsidRPr="00E53E52">
        <w:rPr>
          <w:rFonts w:ascii="Century Schoolbook" w:hAnsi="Century Schoolbook"/>
          <w:sz w:val="22"/>
          <w:szCs w:val="22"/>
        </w:rPr>
        <w:t xml:space="preserve">in </w:t>
      </w:r>
      <w:r w:rsidR="00B41122" w:rsidRPr="00E53E52">
        <w:rPr>
          <w:rFonts w:ascii="Century Schoolbook" w:hAnsi="Century Schoolbook"/>
          <w:sz w:val="22"/>
          <w:szCs w:val="22"/>
        </w:rPr>
        <w:t>the Mediterranean</w:t>
      </w:r>
      <w:r w:rsidR="00554532" w:rsidRPr="00E53E52">
        <w:rPr>
          <w:rFonts w:ascii="Century Schoolbook" w:hAnsi="Century Schoolbook"/>
          <w:sz w:val="22"/>
          <w:szCs w:val="22"/>
        </w:rPr>
        <w:t>.</w:t>
      </w:r>
      <w:r w:rsidR="00810FDA" w:rsidRPr="00E53E52">
        <w:rPr>
          <w:rFonts w:ascii="Century Schoolbook" w:hAnsi="Century Schoolbook"/>
          <w:sz w:val="22"/>
          <w:szCs w:val="22"/>
        </w:rPr>
        <w:t xml:space="preserve"> </w:t>
      </w:r>
      <w:r w:rsidR="00554532" w:rsidRPr="00E53E52">
        <w:rPr>
          <w:rFonts w:ascii="Century Schoolbook" w:hAnsi="Century Schoolbook"/>
          <w:i/>
          <w:sz w:val="22"/>
          <w:szCs w:val="22"/>
        </w:rPr>
        <w:t>Refugees/Migrants Emergency—Europe</w:t>
      </w:r>
      <w:r w:rsidR="00554532" w:rsidRPr="00E53E52">
        <w:rPr>
          <w:rFonts w:ascii="Century Schoolbook" w:hAnsi="Century Schoolbook"/>
          <w:sz w:val="22"/>
          <w:szCs w:val="22"/>
        </w:rPr>
        <w:t xml:space="preserve">, </w:t>
      </w:r>
      <w:r w:rsidR="00981247" w:rsidRPr="00E53E52">
        <w:rPr>
          <w:rFonts w:ascii="Century Schoolbook" w:hAnsi="Century Schoolbook"/>
          <w:sz w:val="22"/>
          <w:szCs w:val="22"/>
        </w:rPr>
        <w:t>Relief Web, July 25</w:t>
      </w:r>
      <w:r w:rsidR="00CB42B7" w:rsidRPr="00E53E52">
        <w:rPr>
          <w:rFonts w:ascii="Century Schoolbook" w:hAnsi="Century Schoolbook"/>
          <w:sz w:val="22"/>
          <w:szCs w:val="22"/>
        </w:rPr>
        <w:t xml:space="preserve">, 2017, </w:t>
      </w:r>
      <w:hyperlink r:id="rId13" w:history="1">
        <w:r w:rsidR="00CB42B7" w:rsidRPr="00E53E52">
          <w:rPr>
            <w:rStyle w:val="Hyperlink"/>
            <w:rFonts w:eastAsiaTheme="minorHAnsi" w:cstheme="minorBidi"/>
            <w:sz w:val="22"/>
            <w:szCs w:val="22"/>
          </w:rPr>
          <w:t>http://reliefweb.int/topics/refugeesmigrants-emergency-europe</w:t>
        </w:r>
      </w:hyperlink>
      <w:r w:rsidR="00CB42B7" w:rsidRPr="00E53E52">
        <w:rPr>
          <w:rFonts w:ascii="Century Schoolbook" w:hAnsi="Century Schoolbook"/>
          <w:sz w:val="22"/>
          <w:szCs w:val="22"/>
        </w:rPr>
        <w:t>.</w:t>
      </w:r>
      <w:r w:rsidR="00810FDA" w:rsidRPr="00E53E52">
        <w:rPr>
          <w:rFonts w:ascii="Century Schoolbook" w:hAnsi="Century Schoolbook"/>
          <w:sz w:val="22"/>
          <w:szCs w:val="22"/>
        </w:rPr>
        <w:t xml:space="preserve"> </w:t>
      </w:r>
    </w:p>
    <w:p w14:paraId="60510370" w14:textId="4CB059E5" w:rsidR="00B348FB" w:rsidRPr="00E53E52" w:rsidRDefault="002441A8" w:rsidP="001D1D6E">
      <w:pPr>
        <w:pStyle w:val="FootnoteText"/>
        <w:spacing w:after="120" w:line="276" w:lineRule="auto"/>
        <w:ind w:firstLine="720"/>
        <w:jc w:val="both"/>
        <w:rPr>
          <w:rFonts w:ascii="Century Schoolbook" w:hAnsi="Century Schoolbook"/>
          <w:b/>
          <w:caps/>
          <w:sz w:val="22"/>
          <w:szCs w:val="22"/>
        </w:rPr>
      </w:pPr>
      <w:r w:rsidRPr="00E53E52">
        <w:rPr>
          <w:rFonts w:ascii="Century Schoolbook" w:hAnsi="Century Schoolbook"/>
          <w:sz w:val="22"/>
          <w:szCs w:val="22"/>
        </w:rPr>
        <w:t>Attacks by terrorists and mentally unstable individuals in France,</w:t>
      </w:r>
      <w:r w:rsidR="00A84542" w:rsidRPr="00E53E52">
        <w:rPr>
          <w:rFonts w:ascii="Century Schoolbook" w:hAnsi="Century Schoolbook"/>
          <w:sz w:val="22"/>
          <w:szCs w:val="22"/>
        </w:rPr>
        <w:t xml:space="preserve"> </w:t>
      </w:r>
      <w:r w:rsidR="00A84542" w:rsidRPr="00E53E52">
        <w:rPr>
          <w:rFonts w:ascii="Century Schoolbook" w:hAnsi="Century Schoolbook"/>
          <w:i/>
          <w:sz w:val="22"/>
          <w:szCs w:val="22"/>
        </w:rPr>
        <w:t>see, e.g</w:t>
      </w:r>
      <w:r w:rsidR="00A84542" w:rsidRPr="00E53E52">
        <w:rPr>
          <w:rFonts w:ascii="Century Schoolbook" w:hAnsi="Century Schoolbook"/>
          <w:sz w:val="22"/>
          <w:szCs w:val="22"/>
        </w:rPr>
        <w:t>.,</w:t>
      </w:r>
      <w:r w:rsidR="00810FDA" w:rsidRPr="00E53E52">
        <w:rPr>
          <w:rFonts w:ascii="Century Schoolbook" w:hAnsi="Century Schoolbook"/>
        </w:rPr>
        <w:t xml:space="preserve"> </w:t>
      </w:r>
      <w:r w:rsidR="007843C5" w:rsidRPr="00E53E52">
        <w:rPr>
          <w:rFonts w:ascii="Century Schoolbook" w:hAnsi="Century Schoolbook"/>
          <w:i/>
          <w:sz w:val="22"/>
          <w:szCs w:val="22"/>
        </w:rPr>
        <w:t>Truck Attack in Nice, France: What We Know, and What We Don</w:t>
      </w:r>
      <w:r w:rsidR="00C909C4" w:rsidRPr="00E53E52">
        <w:rPr>
          <w:rFonts w:ascii="Century Schoolbook" w:hAnsi="Century Schoolbook"/>
          <w:i/>
          <w:sz w:val="22"/>
          <w:szCs w:val="22"/>
        </w:rPr>
        <w:t>’</w:t>
      </w:r>
      <w:r w:rsidR="007843C5" w:rsidRPr="00E53E52">
        <w:rPr>
          <w:rFonts w:ascii="Century Schoolbook" w:hAnsi="Century Schoolbook"/>
          <w:i/>
          <w:sz w:val="22"/>
          <w:szCs w:val="22"/>
        </w:rPr>
        <w:t>t</w:t>
      </w:r>
      <w:r w:rsidR="007843C5" w:rsidRPr="00E53E52">
        <w:rPr>
          <w:rFonts w:ascii="Century Schoolbook" w:hAnsi="Century Schoolbook"/>
          <w:sz w:val="22"/>
          <w:szCs w:val="22"/>
        </w:rPr>
        <w:t xml:space="preserve">, N.Y. Times, July </w:t>
      </w:r>
      <w:r w:rsidR="005B2DD6" w:rsidRPr="00E53E52">
        <w:rPr>
          <w:rFonts w:ascii="Century Schoolbook" w:hAnsi="Century Schoolbook"/>
          <w:sz w:val="22"/>
          <w:szCs w:val="22"/>
        </w:rPr>
        <w:t xml:space="preserve">15, </w:t>
      </w:r>
      <w:r w:rsidR="007843C5" w:rsidRPr="00E53E52">
        <w:rPr>
          <w:rFonts w:ascii="Century Schoolbook" w:hAnsi="Century Schoolbook"/>
          <w:sz w:val="22"/>
          <w:szCs w:val="22"/>
        </w:rPr>
        <w:t xml:space="preserve">2015; Liz </w:t>
      </w:r>
      <w:r w:rsidR="007843C5" w:rsidRPr="00E53E52">
        <w:rPr>
          <w:rFonts w:ascii="Century Schoolbook" w:hAnsi="Century Schoolbook"/>
          <w:sz w:val="22"/>
          <w:szCs w:val="22"/>
        </w:rPr>
        <w:lastRenderedPageBreak/>
        <w:t xml:space="preserve">Alderman &amp; Jim Yardley, </w:t>
      </w:r>
      <w:r w:rsidR="007843C5" w:rsidRPr="00E53E52">
        <w:rPr>
          <w:rFonts w:ascii="Century Schoolbook" w:hAnsi="Century Schoolbook"/>
          <w:i/>
          <w:sz w:val="22"/>
          <w:szCs w:val="22"/>
        </w:rPr>
        <w:t>Paris Terror Attacks Leave Awful Realization:</w:t>
      </w:r>
      <w:r w:rsidR="00810FDA" w:rsidRPr="00E53E52">
        <w:rPr>
          <w:rFonts w:ascii="Century Schoolbook" w:hAnsi="Century Schoolbook"/>
          <w:i/>
          <w:sz w:val="22"/>
          <w:szCs w:val="22"/>
        </w:rPr>
        <w:t xml:space="preserve"> </w:t>
      </w:r>
      <w:r w:rsidR="007843C5" w:rsidRPr="00E53E52">
        <w:rPr>
          <w:rFonts w:ascii="Century Schoolbook" w:hAnsi="Century Schoolbook"/>
          <w:i/>
          <w:sz w:val="22"/>
          <w:szCs w:val="22"/>
        </w:rPr>
        <w:t>Another Massacre</w:t>
      </w:r>
      <w:r w:rsidR="007843C5" w:rsidRPr="00E53E52">
        <w:rPr>
          <w:rFonts w:ascii="Century Schoolbook" w:hAnsi="Century Schoolbook"/>
          <w:sz w:val="22"/>
          <w:szCs w:val="22"/>
        </w:rPr>
        <w:t xml:space="preserve">, N.Y. Times, Nov. 13, </w:t>
      </w:r>
      <w:r w:rsidR="0013297B" w:rsidRPr="00E53E52">
        <w:rPr>
          <w:rFonts w:ascii="Century Schoolbook" w:hAnsi="Century Schoolbook"/>
          <w:sz w:val="22"/>
          <w:szCs w:val="22"/>
        </w:rPr>
        <w:t>2015,</w:t>
      </w:r>
      <w:r w:rsidR="00285403" w:rsidRPr="00E53E52">
        <w:rPr>
          <w:rFonts w:ascii="Century Schoolbook" w:hAnsi="Century Schoolbook"/>
          <w:sz w:val="22"/>
          <w:szCs w:val="22"/>
        </w:rPr>
        <w:t xml:space="preserve"> </w:t>
      </w:r>
      <w:r w:rsidRPr="00E53E52">
        <w:rPr>
          <w:rFonts w:ascii="Century Schoolbook" w:hAnsi="Century Schoolbook"/>
          <w:sz w:val="22"/>
          <w:szCs w:val="22"/>
        </w:rPr>
        <w:t>Belgium,</w:t>
      </w:r>
      <w:r w:rsidR="00285403" w:rsidRPr="00E53E52">
        <w:rPr>
          <w:rFonts w:ascii="Century Schoolbook" w:hAnsi="Century Schoolbook"/>
          <w:sz w:val="22"/>
          <w:szCs w:val="22"/>
        </w:rPr>
        <w:t xml:space="preserve"> </w:t>
      </w:r>
      <w:r w:rsidR="00197862" w:rsidRPr="00E53E52">
        <w:rPr>
          <w:rFonts w:ascii="Century Schoolbook" w:hAnsi="Century Schoolbook"/>
          <w:i/>
          <w:sz w:val="22"/>
          <w:szCs w:val="22"/>
        </w:rPr>
        <w:t>e.g.,</w:t>
      </w:r>
      <w:r w:rsidR="00197862" w:rsidRPr="00E53E52">
        <w:rPr>
          <w:rFonts w:ascii="Century Schoolbook" w:hAnsi="Century Schoolbook"/>
          <w:sz w:val="22"/>
          <w:szCs w:val="22"/>
        </w:rPr>
        <w:t xml:space="preserve"> Alissa J. Rubin, Aurelien Breeden &amp; Anita Raghavan, </w:t>
      </w:r>
      <w:r w:rsidR="00197862" w:rsidRPr="00E53E52">
        <w:rPr>
          <w:rFonts w:ascii="Century Schoolbook" w:hAnsi="Century Schoolbook"/>
          <w:i/>
          <w:sz w:val="22"/>
          <w:szCs w:val="22"/>
        </w:rPr>
        <w:t>Strikes Claimed by ISIS Shut Brussels and Shake European Security</w:t>
      </w:r>
      <w:r w:rsidR="00197862" w:rsidRPr="00E53E52">
        <w:rPr>
          <w:rFonts w:ascii="Century Schoolbook" w:hAnsi="Century Schoolbook"/>
          <w:sz w:val="22"/>
          <w:szCs w:val="22"/>
        </w:rPr>
        <w:t>, N.Y. Times, Mar. 22, 2016</w:t>
      </w:r>
      <w:r w:rsidR="001F048F" w:rsidRPr="00E53E52">
        <w:rPr>
          <w:rFonts w:ascii="Century Schoolbook" w:hAnsi="Century Schoolbook"/>
          <w:sz w:val="22"/>
          <w:szCs w:val="22"/>
        </w:rPr>
        <w:t>,</w:t>
      </w:r>
      <w:r w:rsidR="00285403" w:rsidRPr="00E53E52">
        <w:rPr>
          <w:rFonts w:ascii="Century Schoolbook" w:hAnsi="Century Schoolbook"/>
          <w:sz w:val="22"/>
          <w:szCs w:val="22"/>
        </w:rPr>
        <w:t xml:space="preserve"> </w:t>
      </w:r>
      <w:r w:rsidRPr="00E53E52">
        <w:rPr>
          <w:rFonts w:ascii="Century Schoolbook" w:hAnsi="Century Schoolbook"/>
          <w:sz w:val="22"/>
          <w:szCs w:val="22"/>
        </w:rPr>
        <w:t>and Germany</w:t>
      </w:r>
      <w:r w:rsidR="001F048F" w:rsidRPr="00E53E52">
        <w:rPr>
          <w:rFonts w:ascii="Century Schoolbook" w:hAnsi="Century Schoolbook"/>
          <w:sz w:val="22"/>
          <w:szCs w:val="22"/>
        </w:rPr>
        <w:t xml:space="preserve">, </w:t>
      </w:r>
      <w:r w:rsidR="001F048F" w:rsidRPr="00E53E52">
        <w:rPr>
          <w:rFonts w:ascii="Century Schoolbook" w:hAnsi="Century Schoolbook"/>
          <w:i/>
          <w:sz w:val="22"/>
          <w:szCs w:val="22"/>
        </w:rPr>
        <w:t>e.g.,</w:t>
      </w:r>
      <w:r w:rsidR="001F048F" w:rsidRPr="00E53E52">
        <w:rPr>
          <w:rFonts w:ascii="Century Schoolbook" w:hAnsi="Century Schoolbook"/>
          <w:sz w:val="22"/>
          <w:szCs w:val="22"/>
        </w:rPr>
        <w:t xml:space="preserve"> Rukmini Callimachi &amp; Melissa Eddy, </w:t>
      </w:r>
      <w:r w:rsidR="001F048F" w:rsidRPr="00E53E52">
        <w:rPr>
          <w:rFonts w:ascii="Century Schoolbook" w:hAnsi="Century Schoolbook"/>
          <w:i/>
          <w:sz w:val="22"/>
          <w:szCs w:val="22"/>
        </w:rPr>
        <w:t xml:space="preserve">Munich Killer Was Troubled, But Had No Terrorist Ties, Germany Says, </w:t>
      </w:r>
      <w:r w:rsidR="001F048F" w:rsidRPr="00E53E52">
        <w:rPr>
          <w:rFonts w:ascii="Century Schoolbook" w:hAnsi="Century Schoolbook"/>
          <w:sz w:val="22"/>
          <w:szCs w:val="22"/>
        </w:rPr>
        <w:t xml:space="preserve">N.Y. Times, July 23, 2016; Melissa Eddy &amp; Boryana Dzhambazova, </w:t>
      </w:r>
      <w:r w:rsidR="001F048F" w:rsidRPr="00E53E52">
        <w:rPr>
          <w:rFonts w:ascii="Century Schoolbook" w:hAnsi="Century Schoolbook"/>
          <w:i/>
          <w:sz w:val="22"/>
          <w:szCs w:val="22"/>
        </w:rPr>
        <w:t>Refugee or Jihadist?</w:t>
      </w:r>
      <w:r w:rsidR="00810FDA" w:rsidRPr="00E53E52">
        <w:rPr>
          <w:rFonts w:ascii="Century Schoolbook" w:hAnsi="Century Schoolbook"/>
          <w:i/>
          <w:sz w:val="22"/>
          <w:szCs w:val="22"/>
        </w:rPr>
        <w:t xml:space="preserve"> </w:t>
      </w:r>
      <w:r w:rsidR="001F048F" w:rsidRPr="00E53E52">
        <w:rPr>
          <w:rFonts w:ascii="Century Schoolbook" w:hAnsi="Century Schoolbook"/>
          <w:i/>
          <w:sz w:val="22"/>
          <w:szCs w:val="22"/>
        </w:rPr>
        <w:t>Leaders Can</w:t>
      </w:r>
      <w:r w:rsidR="00C909C4" w:rsidRPr="00E53E52">
        <w:rPr>
          <w:rFonts w:ascii="Century Schoolbook" w:hAnsi="Century Schoolbook"/>
          <w:i/>
          <w:sz w:val="22"/>
          <w:szCs w:val="22"/>
        </w:rPr>
        <w:t>’</w:t>
      </w:r>
      <w:r w:rsidR="001F048F" w:rsidRPr="00E53E52">
        <w:rPr>
          <w:rFonts w:ascii="Century Schoolbook" w:hAnsi="Century Schoolbook"/>
          <w:i/>
          <w:sz w:val="22"/>
          <w:szCs w:val="22"/>
        </w:rPr>
        <w:t>t Always Say</w:t>
      </w:r>
      <w:r w:rsidR="001F048F" w:rsidRPr="00E53E52">
        <w:rPr>
          <w:rFonts w:ascii="Century Schoolbook" w:hAnsi="Century Schoolbook"/>
          <w:sz w:val="22"/>
          <w:szCs w:val="22"/>
        </w:rPr>
        <w:t>, N.Y. Times, Aug. 5, 2016</w:t>
      </w:r>
      <w:r w:rsidR="00282DC4" w:rsidRPr="00E53E52">
        <w:rPr>
          <w:rFonts w:ascii="Century Schoolbook" w:hAnsi="Century Schoolbook"/>
          <w:sz w:val="22"/>
          <w:szCs w:val="22"/>
        </w:rPr>
        <w:t xml:space="preserve">, </w:t>
      </w:r>
      <w:r w:rsidRPr="00E53E52">
        <w:rPr>
          <w:rFonts w:ascii="Century Schoolbook" w:hAnsi="Century Schoolbook"/>
          <w:sz w:val="22"/>
          <w:szCs w:val="22"/>
        </w:rPr>
        <w:t>have heightened fears across the continent, and stories that some of the assailants mingled with the throng of asylum seekers who entered Europe in 2015 have inspired xenophobia and anti-refugee sentiments.</w:t>
      </w:r>
      <w:r w:rsidR="00282DC4" w:rsidRPr="00E53E52">
        <w:rPr>
          <w:rFonts w:ascii="Century Schoolbook" w:hAnsi="Century Schoolbook"/>
          <w:sz w:val="22"/>
          <w:szCs w:val="22"/>
        </w:rPr>
        <w:t xml:space="preserve"> </w:t>
      </w:r>
      <w:r w:rsidR="00282DC4" w:rsidRPr="00E53E52">
        <w:rPr>
          <w:rFonts w:ascii="Century Schoolbook" w:hAnsi="Century Schoolbook"/>
          <w:i/>
          <w:sz w:val="22"/>
          <w:szCs w:val="22"/>
        </w:rPr>
        <w:t>See, e.g</w:t>
      </w:r>
      <w:r w:rsidR="00282DC4" w:rsidRPr="00E53E52">
        <w:rPr>
          <w:rFonts w:ascii="Century Schoolbook" w:hAnsi="Century Schoolbook"/>
          <w:sz w:val="22"/>
          <w:szCs w:val="22"/>
        </w:rPr>
        <w:t xml:space="preserve">., Rick Lyman, </w:t>
      </w:r>
      <w:r w:rsidR="00282DC4" w:rsidRPr="00E53E52">
        <w:rPr>
          <w:rFonts w:ascii="Century Schoolbook" w:hAnsi="Century Schoolbook"/>
          <w:i/>
          <w:sz w:val="22"/>
          <w:szCs w:val="22"/>
        </w:rPr>
        <w:t>Regulating Flow of Refugees Gains Urgency in Greece and Rest of Europe</w:t>
      </w:r>
      <w:r w:rsidR="00282DC4" w:rsidRPr="00E53E52">
        <w:rPr>
          <w:rFonts w:ascii="Century Schoolbook" w:hAnsi="Century Schoolbook"/>
          <w:sz w:val="22"/>
          <w:szCs w:val="22"/>
        </w:rPr>
        <w:t>,</w:t>
      </w:r>
      <w:r w:rsidR="00810FDA" w:rsidRPr="00E53E52">
        <w:rPr>
          <w:rFonts w:ascii="Century Schoolbook" w:hAnsi="Century Schoolbook"/>
          <w:sz w:val="22"/>
          <w:szCs w:val="22"/>
        </w:rPr>
        <w:t xml:space="preserve"> </w:t>
      </w:r>
      <w:r w:rsidR="00282DC4" w:rsidRPr="00E53E52">
        <w:rPr>
          <w:rFonts w:ascii="Century Schoolbook" w:hAnsi="Century Schoolbook"/>
          <w:sz w:val="22"/>
          <w:szCs w:val="22"/>
        </w:rPr>
        <w:t xml:space="preserve">N.Y. Times, Nov. 25, 2015; Aurelien Breeden &amp; Kimiko De Freytas-Tamura, </w:t>
      </w:r>
      <w:r w:rsidR="00282DC4" w:rsidRPr="00E53E52">
        <w:rPr>
          <w:rFonts w:ascii="Century Schoolbook" w:hAnsi="Century Schoolbook"/>
          <w:i/>
          <w:sz w:val="22"/>
          <w:szCs w:val="22"/>
        </w:rPr>
        <w:t>Third Body Is Found In Rubble of Police Raid Near Paris</w:t>
      </w:r>
      <w:r w:rsidR="00282DC4" w:rsidRPr="00E53E52">
        <w:rPr>
          <w:rFonts w:ascii="Century Schoolbook" w:hAnsi="Century Schoolbook"/>
          <w:sz w:val="22"/>
          <w:szCs w:val="22"/>
        </w:rPr>
        <w:t xml:space="preserve">, N.Y. Times, Nov. 20, 2015; Adam Nossiter &amp; Liz Alderman, </w:t>
      </w:r>
      <w:r w:rsidR="00282DC4" w:rsidRPr="00E53E52">
        <w:rPr>
          <w:rFonts w:ascii="Century Schoolbook" w:hAnsi="Century Schoolbook"/>
          <w:i/>
          <w:sz w:val="22"/>
          <w:szCs w:val="22"/>
        </w:rPr>
        <w:t>After Paris Attacks, a Darker Mood Toward Islam Emerges in France</w:t>
      </w:r>
      <w:r w:rsidR="00282DC4" w:rsidRPr="00E53E52">
        <w:rPr>
          <w:rFonts w:ascii="Century Schoolbook" w:hAnsi="Century Schoolbook"/>
          <w:sz w:val="22"/>
          <w:szCs w:val="22"/>
        </w:rPr>
        <w:t>, N.Y. Times, Nov. 16, 2015.</w:t>
      </w:r>
      <w:r w:rsidR="00810FDA" w:rsidRPr="00E53E52">
        <w:rPr>
          <w:rFonts w:ascii="Century Schoolbook" w:hAnsi="Century Schoolbook"/>
          <w:sz w:val="22"/>
          <w:szCs w:val="22"/>
        </w:rPr>
        <w:t xml:space="preserve"> </w:t>
      </w:r>
      <w:r w:rsidR="00CB028A" w:rsidRPr="00E53E52">
        <w:rPr>
          <w:rFonts w:ascii="Century Schoolbook" w:hAnsi="Century Schoolbook"/>
          <w:sz w:val="22"/>
          <w:szCs w:val="22"/>
        </w:rPr>
        <w:t xml:space="preserve">Although many Europeans have welcomed refugees and EU countries have managed to </w:t>
      </w:r>
      <w:r w:rsidR="00E43032" w:rsidRPr="00E53E52">
        <w:rPr>
          <w:rFonts w:ascii="Century Schoolbook" w:hAnsi="Century Schoolbook"/>
          <w:sz w:val="22"/>
          <w:szCs w:val="22"/>
        </w:rPr>
        <w:t>find temporary quarters for</w:t>
      </w:r>
      <w:r w:rsidR="00CB028A" w:rsidRPr="00E53E52">
        <w:rPr>
          <w:rFonts w:ascii="Century Schoolbook" w:hAnsi="Century Schoolbook"/>
          <w:sz w:val="22"/>
          <w:szCs w:val="22"/>
        </w:rPr>
        <w:t xml:space="preserve"> more than one million new arrivals</w:t>
      </w:r>
      <w:r w:rsidR="00E43032" w:rsidRPr="00E53E52">
        <w:rPr>
          <w:rFonts w:ascii="Century Schoolbook" w:hAnsi="Century Schoolbook"/>
          <w:sz w:val="22"/>
          <w:szCs w:val="22"/>
        </w:rPr>
        <w:t>, the mood is dark.</w:t>
      </w:r>
      <w:r w:rsidR="00810FDA" w:rsidRPr="00E53E52">
        <w:rPr>
          <w:rFonts w:ascii="Century Schoolbook" w:hAnsi="Century Schoolbook"/>
          <w:sz w:val="22"/>
          <w:szCs w:val="22"/>
        </w:rPr>
        <w:t xml:space="preserve"> </w:t>
      </w:r>
      <w:r w:rsidR="00E43032" w:rsidRPr="00E53E52">
        <w:rPr>
          <w:rFonts w:ascii="Century Schoolbook" w:hAnsi="Century Schoolbook"/>
          <w:sz w:val="22"/>
          <w:szCs w:val="22"/>
        </w:rPr>
        <w:t>Many attribute the United Kingdom</w:t>
      </w:r>
      <w:r w:rsidR="00C909C4" w:rsidRPr="00E53E52">
        <w:rPr>
          <w:rFonts w:ascii="Century Schoolbook" w:hAnsi="Century Schoolbook"/>
          <w:sz w:val="22"/>
          <w:szCs w:val="22"/>
        </w:rPr>
        <w:t>’</w:t>
      </w:r>
      <w:r w:rsidR="00E43032" w:rsidRPr="00E53E52">
        <w:rPr>
          <w:rFonts w:ascii="Century Schoolbook" w:hAnsi="Century Schoolbook"/>
          <w:sz w:val="22"/>
          <w:szCs w:val="22"/>
        </w:rPr>
        <w:t>s referendum vote to leave the European Union to fear of refugees</w:t>
      </w:r>
      <w:r w:rsidR="00F2242D" w:rsidRPr="00E53E52">
        <w:rPr>
          <w:rFonts w:ascii="Century Schoolbook" w:hAnsi="Century Schoolbook"/>
          <w:sz w:val="22"/>
          <w:szCs w:val="22"/>
        </w:rPr>
        <w:t xml:space="preserve">, </w:t>
      </w:r>
      <w:r w:rsidR="003804CD" w:rsidRPr="00E53E52">
        <w:rPr>
          <w:rFonts w:ascii="Century Schoolbook" w:hAnsi="Century Schoolbook"/>
          <w:sz w:val="22"/>
          <w:szCs w:val="22"/>
        </w:rPr>
        <w:t>Will Somerville</w:t>
      </w:r>
      <w:r w:rsidR="00A006C4" w:rsidRPr="00E53E52">
        <w:rPr>
          <w:rFonts w:ascii="Century Schoolbook" w:hAnsi="Century Schoolbook"/>
          <w:sz w:val="22"/>
          <w:szCs w:val="22"/>
        </w:rPr>
        <w:t xml:space="preserve">, </w:t>
      </w:r>
      <w:r w:rsidR="00A006C4" w:rsidRPr="00E53E52">
        <w:rPr>
          <w:rFonts w:ascii="Century Schoolbook" w:hAnsi="Century Schoolbook"/>
          <w:i/>
          <w:sz w:val="22"/>
          <w:szCs w:val="22"/>
        </w:rPr>
        <w:t>When the Dust Settles:</w:t>
      </w:r>
      <w:r w:rsidR="00810FDA" w:rsidRPr="00E53E52">
        <w:rPr>
          <w:rFonts w:ascii="Century Schoolbook" w:hAnsi="Century Schoolbook"/>
          <w:i/>
          <w:sz w:val="22"/>
          <w:szCs w:val="22"/>
        </w:rPr>
        <w:t xml:space="preserve"> </w:t>
      </w:r>
      <w:r w:rsidR="00A006C4" w:rsidRPr="00E53E52">
        <w:rPr>
          <w:rFonts w:ascii="Century Schoolbook" w:hAnsi="Century Schoolbook"/>
          <w:i/>
          <w:sz w:val="22"/>
          <w:szCs w:val="22"/>
        </w:rPr>
        <w:t>Migration Policy after Brexit</w:t>
      </w:r>
      <w:r w:rsidR="00A006C4" w:rsidRPr="00E53E52">
        <w:rPr>
          <w:rFonts w:ascii="Century Schoolbook" w:hAnsi="Century Schoolbook"/>
          <w:sz w:val="22"/>
          <w:szCs w:val="22"/>
        </w:rPr>
        <w:t xml:space="preserve">, Migration Policy Institute (June 2016), </w:t>
      </w:r>
      <w:r w:rsidR="00F2242D" w:rsidRPr="00E53E52">
        <w:rPr>
          <w:rFonts w:ascii="Century Schoolbook" w:hAnsi="Century Schoolbook"/>
          <w:sz w:val="22"/>
          <w:szCs w:val="22"/>
        </w:rPr>
        <w:t>an ironic resu</w:t>
      </w:r>
      <w:r w:rsidR="00AB1B85" w:rsidRPr="00E53E52">
        <w:rPr>
          <w:rFonts w:ascii="Century Schoolbook" w:hAnsi="Century Schoolbook"/>
          <w:sz w:val="22"/>
          <w:szCs w:val="22"/>
        </w:rPr>
        <w:t>lt since the U.K. government had</w:t>
      </w:r>
      <w:r w:rsidR="00F2242D" w:rsidRPr="00E53E52">
        <w:rPr>
          <w:rFonts w:ascii="Century Schoolbook" w:hAnsi="Century Schoolbook"/>
          <w:sz w:val="22"/>
          <w:szCs w:val="22"/>
        </w:rPr>
        <w:t xml:space="preserve"> already negotiated an opt-out provision from EU refugee relocation decisions</w:t>
      </w:r>
      <w:r w:rsidR="0051785F" w:rsidRPr="00E53E52">
        <w:rPr>
          <w:rFonts w:ascii="Century Schoolbook" w:hAnsi="Century Schoolbook"/>
          <w:sz w:val="22"/>
          <w:szCs w:val="22"/>
        </w:rPr>
        <w:t>.</w:t>
      </w:r>
      <w:r w:rsidR="00810FDA" w:rsidRPr="00E53E52">
        <w:rPr>
          <w:rFonts w:ascii="Century Schoolbook" w:hAnsi="Century Schoolbook"/>
          <w:sz w:val="22"/>
          <w:szCs w:val="22"/>
        </w:rPr>
        <w:t xml:space="preserve"> </w:t>
      </w:r>
    </w:p>
    <w:p w14:paraId="3C06FB07" w14:textId="3C80BD63" w:rsidR="00AC547F" w:rsidRPr="00E53E52" w:rsidRDefault="008F7B73" w:rsidP="001D1D6E">
      <w:pPr>
        <w:spacing w:after="120"/>
        <w:rPr>
          <w:rFonts w:ascii="Century Schoolbook" w:hAnsi="Century Schoolbook"/>
          <w:b/>
        </w:rPr>
      </w:pPr>
      <w:r w:rsidRPr="00E53E52">
        <w:rPr>
          <w:rFonts w:ascii="Century Schoolbook" w:hAnsi="Century Schoolbook"/>
          <w:b/>
        </w:rPr>
        <w:t>p. 67, immediately before notes and questions, add new subsection:</w:t>
      </w:r>
      <w:r w:rsidR="00810FDA" w:rsidRPr="00E53E52">
        <w:rPr>
          <w:rFonts w:ascii="Century Schoolbook" w:hAnsi="Century Schoolbook"/>
          <w:b/>
        </w:rPr>
        <w:t xml:space="preserve"> </w:t>
      </w:r>
    </w:p>
    <w:p w14:paraId="7DA16F3E" w14:textId="7584F410" w:rsidR="00F47685" w:rsidRPr="00E53E52" w:rsidRDefault="00DA4D82" w:rsidP="001D1D6E">
      <w:pPr>
        <w:spacing w:after="120"/>
        <w:rPr>
          <w:rFonts w:ascii="Century Schoolbook" w:hAnsi="Century Schoolbook"/>
          <w:b/>
        </w:rPr>
      </w:pPr>
      <w:r w:rsidRPr="00E53E52">
        <w:rPr>
          <w:rFonts w:ascii="Century Schoolbook" w:hAnsi="Century Schoolbook"/>
          <w:b/>
        </w:rPr>
        <w:t>e.</w:t>
      </w:r>
      <w:r w:rsidR="00810FDA" w:rsidRPr="00E53E52">
        <w:rPr>
          <w:rFonts w:ascii="Century Schoolbook" w:hAnsi="Century Schoolbook"/>
          <w:b/>
        </w:rPr>
        <w:t xml:space="preserve"> </w:t>
      </w:r>
      <w:r w:rsidRPr="00E53E52">
        <w:rPr>
          <w:rFonts w:ascii="Century Schoolbook" w:hAnsi="Century Schoolbook"/>
          <w:b/>
        </w:rPr>
        <w:t>United Nations Summit for</w:t>
      </w:r>
      <w:r w:rsidR="00F47685" w:rsidRPr="00E53E52">
        <w:rPr>
          <w:rFonts w:ascii="Century Schoolbook" w:hAnsi="Century Schoolbook"/>
          <w:b/>
        </w:rPr>
        <w:t xml:space="preserve"> </w:t>
      </w:r>
      <w:r w:rsidR="009E6A91" w:rsidRPr="00E53E52">
        <w:rPr>
          <w:rFonts w:ascii="Century Schoolbook" w:hAnsi="Century Schoolbook"/>
          <w:b/>
        </w:rPr>
        <w:t>Refugees and Migrants</w:t>
      </w:r>
    </w:p>
    <w:p w14:paraId="25FCC1F1" w14:textId="3867E523" w:rsidR="00D64372" w:rsidRPr="00E53E52" w:rsidRDefault="006441C3" w:rsidP="0036367F">
      <w:pPr>
        <w:spacing w:after="120"/>
        <w:ind w:firstLine="720"/>
        <w:jc w:val="both"/>
        <w:rPr>
          <w:rFonts w:ascii="Century Schoolbook" w:hAnsi="Century Schoolbook"/>
        </w:rPr>
      </w:pPr>
      <w:r w:rsidRPr="00E53E52">
        <w:rPr>
          <w:rFonts w:ascii="Century Schoolbook" w:hAnsi="Century Schoolbook"/>
        </w:rPr>
        <w:t xml:space="preserve">During the fall of 2015, with </w:t>
      </w:r>
      <w:r w:rsidR="009048D9" w:rsidRPr="00E53E52">
        <w:rPr>
          <w:rFonts w:ascii="Century Schoolbook" w:hAnsi="Century Schoolbook"/>
        </w:rPr>
        <w:t>full-blown</w:t>
      </w:r>
      <w:r w:rsidRPr="00E53E52">
        <w:rPr>
          <w:rFonts w:ascii="Century Schoolbook" w:hAnsi="Century Schoolbook"/>
        </w:rPr>
        <w:t xml:space="preserve"> refugee crises in the Middle East, Europe, </w:t>
      </w:r>
      <w:r w:rsidR="009048D9" w:rsidRPr="00E53E52">
        <w:rPr>
          <w:rFonts w:ascii="Century Schoolbook" w:hAnsi="Century Schoolbook"/>
        </w:rPr>
        <w:t>Central America</w:t>
      </w:r>
      <w:r w:rsidR="00C26556" w:rsidRPr="00E53E52">
        <w:rPr>
          <w:rFonts w:ascii="Century Schoolbook" w:hAnsi="Century Schoolbook"/>
        </w:rPr>
        <w:t xml:space="preserve">, </w:t>
      </w:r>
      <w:r w:rsidR="000E1E92" w:rsidRPr="00E53E52">
        <w:rPr>
          <w:rFonts w:ascii="Century Schoolbook" w:hAnsi="Century Schoolbook"/>
        </w:rPr>
        <w:t xml:space="preserve">and elsewhere around the globe, </w:t>
      </w:r>
      <w:r w:rsidR="00C26556" w:rsidRPr="00E53E52">
        <w:rPr>
          <w:rFonts w:ascii="Century Schoolbook" w:hAnsi="Century Schoolbook"/>
        </w:rPr>
        <w:t xml:space="preserve">the U.N. Secretary General </w:t>
      </w:r>
      <w:r w:rsidR="000E1E92" w:rsidRPr="00E53E52">
        <w:rPr>
          <w:rFonts w:ascii="Century Schoolbook" w:hAnsi="Century Schoolbook"/>
        </w:rPr>
        <w:t xml:space="preserve">organized meetings </w:t>
      </w:r>
      <w:r w:rsidR="005F773C" w:rsidRPr="00E53E52">
        <w:rPr>
          <w:rFonts w:ascii="Century Schoolbook" w:hAnsi="Century Schoolbook"/>
        </w:rPr>
        <w:t>to strengthen</w:t>
      </w:r>
      <w:r w:rsidR="000E1E92" w:rsidRPr="00E53E52">
        <w:rPr>
          <w:rFonts w:ascii="Century Schoolbook" w:hAnsi="Century Schoolbook"/>
        </w:rPr>
        <w:t xml:space="preserve"> cooperation </w:t>
      </w:r>
      <w:r w:rsidR="001368FA" w:rsidRPr="00E53E52">
        <w:rPr>
          <w:rFonts w:ascii="Century Schoolbook" w:hAnsi="Century Schoolbook"/>
        </w:rPr>
        <w:t>on refugee and migration movements.</w:t>
      </w:r>
      <w:r w:rsidR="00C26556" w:rsidRPr="00E53E52">
        <w:rPr>
          <w:rFonts w:ascii="Century Schoolbook" w:hAnsi="Century Schoolbook"/>
        </w:rPr>
        <w:t xml:space="preserve"> </w:t>
      </w:r>
      <w:r w:rsidR="005D7D69" w:rsidRPr="00E53E52">
        <w:rPr>
          <w:rFonts w:ascii="Century Schoolbook" w:hAnsi="Century Schoolbook"/>
        </w:rPr>
        <w:t>The U.N. General Assembly</w:t>
      </w:r>
      <w:r w:rsidR="00343543" w:rsidRPr="00E53E52">
        <w:rPr>
          <w:rFonts w:ascii="Century Schoolbook" w:hAnsi="Century Schoolbook"/>
        </w:rPr>
        <w:t xml:space="preserve"> convened</w:t>
      </w:r>
      <w:r w:rsidR="00E639C7" w:rsidRPr="00E53E52">
        <w:rPr>
          <w:rFonts w:ascii="Century Schoolbook" w:hAnsi="Century Schoolbook"/>
        </w:rPr>
        <w:t xml:space="preserve"> </w:t>
      </w:r>
      <w:r w:rsidR="003938F1" w:rsidRPr="00E53E52">
        <w:rPr>
          <w:rFonts w:ascii="Century Schoolbook" w:hAnsi="Century Schoolbook"/>
        </w:rPr>
        <w:t>additional</w:t>
      </w:r>
      <w:r w:rsidR="00E639C7" w:rsidRPr="00E53E52">
        <w:rPr>
          <w:rFonts w:ascii="Century Schoolbook" w:hAnsi="Century Schoolbook"/>
        </w:rPr>
        <w:t xml:space="preserve"> meetings to consider comprehensive responses to the global refugee and humanitarian </w:t>
      </w:r>
      <w:r w:rsidR="00AF75ED" w:rsidRPr="00E53E52">
        <w:rPr>
          <w:rFonts w:ascii="Century Schoolbook" w:hAnsi="Century Schoolbook"/>
        </w:rPr>
        <w:t xml:space="preserve">emergencies, and ultimately decided to devote an entire day to </w:t>
      </w:r>
      <w:r w:rsidR="00131C34" w:rsidRPr="00E53E52">
        <w:rPr>
          <w:rFonts w:ascii="Century Schoolbook" w:hAnsi="Century Schoolbook"/>
        </w:rPr>
        <w:t xml:space="preserve">plenary discussion of </w:t>
      </w:r>
      <w:r w:rsidR="003938F1" w:rsidRPr="00E53E52">
        <w:rPr>
          <w:rFonts w:ascii="Century Schoolbook" w:hAnsi="Century Schoolbook"/>
        </w:rPr>
        <w:t xml:space="preserve">the </w:t>
      </w:r>
      <w:r w:rsidR="00131C34" w:rsidRPr="00E53E52">
        <w:rPr>
          <w:rFonts w:ascii="Century Schoolbook" w:hAnsi="Century Schoolbook"/>
        </w:rPr>
        <w:t>large movements of refugees and migrants</w:t>
      </w:r>
      <w:r w:rsidR="00C47478" w:rsidRPr="00E53E52">
        <w:rPr>
          <w:rFonts w:ascii="Century Schoolbook" w:hAnsi="Century Schoolbook"/>
        </w:rPr>
        <w:t xml:space="preserve"> during the 2016 General Assembly </w:t>
      </w:r>
      <w:r w:rsidR="000E29DC" w:rsidRPr="00E53E52">
        <w:rPr>
          <w:rFonts w:ascii="Century Schoolbook" w:hAnsi="Century Schoolbook"/>
        </w:rPr>
        <w:t>session in New York.</w:t>
      </w:r>
      <w:r w:rsidR="00810FDA" w:rsidRPr="00E53E52">
        <w:rPr>
          <w:rFonts w:ascii="Century Schoolbook" w:hAnsi="Century Schoolbook"/>
        </w:rPr>
        <w:t xml:space="preserve"> </w:t>
      </w:r>
      <w:r w:rsidR="00DE0EFA" w:rsidRPr="00E53E52">
        <w:rPr>
          <w:rFonts w:ascii="Century Schoolbook" w:hAnsi="Century Schoolbook"/>
        </w:rPr>
        <w:t>Scheduled for</w:t>
      </w:r>
      <w:r w:rsidR="0056016A" w:rsidRPr="00E53E52">
        <w:rPr>
          <w:rFonts w:ascii="Century Schoolbook" w:hAnsi="Century Schoolbook"/>
        </w:rPr>
        <w:t xml:space="preserve"> September 19</w:t>
      </w:r>
      <w:r w:rsidR="00DE0EFA" w:rsidRPr="00E53E52">
        <w:rPr>
          <w:rFonts w:ascii="Century Schoolbook" w:hAnsi="Century Schoolbook"/>
        </w:rPr>
        <w:t>, 2016, the</w:t>
      </w:r>
      <w:r w:rsidR="0056016A" w:rsidRPr="00E53E52">
        <w:rPr>
          <w:rFonts w:ascii="Century Schoolbook" w:hAnsi="Century Schoolbook"/>
        </w:rPr>
        <w:t xml:space="preserve"> U.N. Summit </w:t>
      </w:r>
      <w:r w:rsidR="00D64372" w:rsidRPr="00E53E52">
        <w:rPr>
          <w:rFonts w:ascii="Century Schoolbook" w:hAnsi="Century Schoolbook"/>
        </w:rPr>
        <w:t>for Refugees and M</w:t>
      </w:r>
      <w:r w:rsidR="0056016A" w:rsidRPr="00E53E52">
        <w:rPr>
          <w:rFonts w:ascii="Century Schoolbook" w:hAnsi="Century Schoolbook"/>
        </w:rPr>
        <w:t xml:space="preserve">igrants </w:t>
      </w:r>
      <w:r w:rsidR="00D64372" w:rsidRPr="00E53E52">
        <w:rPr>
          <w:rFonts w:ascii="Century Schoolbook" w:hAnsi="Century Schoolbook"/>
        </w:rPr>
        <w:t>result</w:t>
      </w:r>
      <w:r w:rsidR="00DC3B25" w:rsidRPr="00E53E52">
        <w:rPr>
          <w:rFonts w:ascii="Century Schoolbook" w:hAnsi="Century Schoolbook"/>
        </w:rPr>
        <w:t>ed</w:t>
      </w:r>
      <w:r w:rsidR="00D64372" w:rsidRPr="00E53E52">
        <w:rPr>
          <w:rFonts w:ascii="Century Schoolbook" w:hAnsi="Century Schoolbook"/>
        </w:rPr>
        <w:t xml:space="preserve"> in </w:t>
      </w:r>
      <w:r w:rsidR="007F331A" w:rsidRPr="00E53E52">
        <w:rPr>
          <w:rFonts w:ascii="Century Schoolbook" w:hAnsi="Century Schoolbook"/>
        </w:rPr>
        <w:t>U.N.</w:t>
      </w:r>
      <w:r w:rsidR="00D64372" w:rsidRPr="00E53E52">
        <w:rPr>
          <w:rFonts w:ascii="Century Schoolbook" w:hAnsi="Century Schoolbook"/>
        </w:rPr>
        <w:t xml:space="preserve"> declarations</w:t>
      </w:r>
      <w:r w:rsidR="000E29DC" w:rsidRPr="00E53E52">
        <w:rPr>
          <w:rFonts w:ascii="Century Schoolbook" w:hAnsi="Century Schoolbook"/>
        </w:rPr>
        <w:t xml:space="preserve"> </w:t>
      </w:r>
      <w:r w:rsidR="00396F27" w:rsidRPr="00E53E52">
        <w:rPr>
          <w:rFonts w:ascii="Century Schoolbook" w:hAnsi="Century Schoolbook"/>
        </w:rPr>
        <w:t>c</w:t>
      </w:r>
      <w:r w:rsidR="007F331A" w:rsidRPr="00E53E52">
        <w:rPr>
          <w:rFonts w:ascii="Century Schoolbook" w:hAnsi="Century Schoolbook"/>
        </w:rPr>
        <w:t>on</w:t>
      </w:r>
      <w:r w:rsidR="00396F27" w:rsidRPr="00E53E52">
        <w:rPr>
          <w:rFonts w:ascii="Century Schoolbook" w:hAnsi="Century Schoolbook"/>
        </w:rPr>
        <w:t>cerning</w:t>
      </w:r>
      <w:r w:rsidR="007F331A" w:rsidRPr="00E53E52">
        <w:rPr>
          <w:rFonts w:ascii="Century Schoolbook" w:hAnsi="Century Schoolbook"/>
        </w:rPr>
        <w:t xml:space="preserve"> state responsibilities</w:t>
      </w:r>
      <w:r w:rsidR="004502DA" w:rsidRPr="00E53E52">
        <w:rPr>
          <w:rFonts w:ascii="Century Schoolbook" w:hAnsi="Century Schoolbook"/>
        </w:rPr>
        <w:t xml:space="preserve"> in response to mass movements of forced and voluntary migrants.</w:t>
      </w:r>
    </w:p>
    <w:p w14:paraId="7EFFB1CF" w14:textId="7C3C6058" w:rsidR="00D64372" w:rsidRPr="00E53E52" w:rsidRDefault="00D64372" w:rsidP="0036367F">
      <w:pPr>
        <w:pStyle w:val="BodyText"/>
        <w:widowControl/>
        <w:spacing w:after="120"/>
        <w:ind w:firstLine="720"/>
        <w:rPr>
          <w:rFonts w:ascii="Century Schoolbook" w:hAnsi="Century Schoolbook"/>
        </w:rPr>
      </w:pPr>
      <w:r w:rsidRPr="00E53E52">
        <w:rPr>
          <w:rFonts w:ascii="Century Schoolbook" w:hAnsi="Century Schoolbook"/>
        </w:rPr>
        <w:t xml:space="preserve">In preparation for the </w:t>
      </w:r>
      <w:r w:rsidR="0036392A" w:rsidRPr="00E53E52">
        <w:rPr>
          <w:rFonts w:ascii="Century Schoolbook" w:hAnsi="Century Schoolbook"/>
        </w:rPr>
        <w:t>Summit</w:t>
      </w:r>
      <w:r w:rsidR="001A0D5C" w:rsidRPr="00E53E52">
        <w:rPr>
          <w:rFonts w:ascii="Century Schoolbook" w:hAnsi="Century Schoolbook"/>
        </w:rPr>
        <w:t>,</w:t>
      </w:r>
      <w:r w:rsidRPr="00E53E52">
        <w:rPr>
          <w:rFonts w:ascii="Century Schoolbook" w:hAnsi="Century Schoolbook"/>
        </w:rPr>
        <w:t xml:space="preserve"> Secretary General </w:t>
      </w:r>
      <w:r w:rsidR="005A72BF" w:rsidRPr="00E53E52">
        <w:rPr>
          <w:rFonts w:ascii="Century Schoolbook" w:hAnsi="Century Schoolbook"/>
        </w:rPr>
        <w:t>Ban Ki-m</w:t>
      </w:r>
      <w:r w:rsidR="001A0D5C" w:rsidRPr="00E53E52">
        <w:rPr>
          <w:rFonts w:ascii="Century Schoolbook" w:hAnsi="Century Schoolbook"/>
        </w:rPr>
        <w:t xml:space="preserve">oon </w:t>
      </w:r>
      <w:r w:rsidRPr="00E53E52">
        <w:rPr>
          <w:rFonts w:ascii="Century Schoolbook" w:hAnsi="Century Schoolbook"/>
        </w:rPr>
        <w:t xml:space="preserve">commissioned Special Advisor Karen AbuZayd to prepare a report, </w:t>
      </w:r>
      <w:r w:rsidRPr="00E53E52">
        <w:rPr>
          <w:rFonts w:ascii="Century Schoolbook" w:hAnsi="Century Schoolbook"/>
          <w:i/>
        </w:rPr>
        <w:t>In Safety and Dignity:</w:t>
      </w:r>
      <w:r w:rsidR="00810FDA" w:rsidRPr="00E53E52">
        <w:rPr>
          <w:rFonts w:ascii="Century Schoolbook" w:hAnsi="Century Schoolbook"/>
          <w:i/>
        </w:rPr>
        <w:t xml:space="preserve"> </w:t>
      </w:r>
      <w:r w:rsidRPr="00E53E52">
        <w:rPr>
          <w:rFonts w:ascii="Century Schoolbook" w:hAnsi="Century Schoolbook"/>
          <w:i/>
        </w:rPr>
        <w:t>Addressing Large Movements of Refugees and Migrants</w:t>
      </w:r>
      <w:r w:rsidR="001A0D5C" w:rsidRPr="00E53E52">
        <w:rPr>
          <w:rFonts w:ascii="Century Schoolbook" w:hAnsi="Century Schoolbook"/>
        </w:rPr>
        <w:t xml:space="preserve"> (</w:t>
      </w:r>
      <w:r w:rsidR="0097587A" w:rsidRPr="00E53E52">
        <w:rPr>
          <w:rFonts w:ascii="Century Schoolbook" w:hAnsi="Century Schoolbook"/>
        </w:rPr>
        <w:t xml:space="preserve">May </w:t>
      </w:r>
      <w:r w:rsidR="001A0D5C" w:rsidRPr="00E53E52">
        <w:rPr>
          <w:rFonts w:ascii="Century Schoolbook" w:hAnsi="Century Schoolbook"/>
        </w:rPr>
        <w:t>2016)</w:t>
      </w:r>
      <w:r w:rsidRPr="00E53E52">
        <w:rPr>
          <w:rFonts w:ascii="Century Schoolbook" w:hAnsi="Century Schoolbook"/>
        </w:rPr>
        <w:t>.</w:t>
      </w:r>
      <w:r w:rsidR="00810FDA" w:rsidRPr="00E53E52">
        <w:rPr>
          <w:rFonts w:ascii="Century Schoolbook" w:hAnsi="Century Schoolbook"/>
        </w:rPr>
        <w:t xml:space="preserve"> </w:t>
      </w:r>
      <w:r w:rsidRPr="00E53E52">
        <w:rPr>
          <w:rFonts w:ascii="Century Schoolbook" w:hAnsi="Century Schoolbook"/>
        </w:rPr>
        <w:t>AbuZayd spotlight</w:t>
      </w:r>
      <w:r w:rsidR="004549A0" w:rsidRPr="00E53E52">
        <w:rPr>
          <w:rFonts w:ascii="Century Schoolbook" w:hAnsi="Century Schoolbook"/>
        </w:rPr>
        <w:t>ed</w:t>
      </w:r>
      <w:r w:rsidRPr="00E53E52">
        <w:rPr>
          <w:rFonts w:ascii="Century Schoolbook" w:hAnsi="Century Schoolbook"/>
        </w:rPr>
        <w:t xml:space="preserve"> the large number – 244 million in 2015 – of international migrants and the great impact that remittances from migrants have on the economies of developing societies.</w:t>
      </w:r>
      <w:r w:rsidR="00810FDA" w:rsidRPr="00E53E52">
        <w:rPr>
          <w:rFonts w:ascii="Century Schoolbook" w:hAnsi="Century Schoolbook"/>
        </w:rPr>
        <w:t xml:space="preserve"> </w:t>
      </w:r>
      <w:r w:rsidRPr="00E53E52">
        <w:rPr>
          <w:rFonts w:ascii="Century Schoolbook" w:hAnsi="Century Schoolbook"/>
        </w:rPr>
        <w:t>She emphasize</w:t>
      </w:r>
      <w:r w:rsidR="004549A0" w:rsidRPr="00E53E52">
        <w:rPr>
          <w:rFonts w:ascii="Century Schoolbook" w:hAnsi="Century Schoolbook"/>
        </w:rPr>
        <w:t>d</w:t>
      </w:r>
      <w:r w:rsidRPr="00E53E52">
        <w:rPr>
          <w:rFonts w:ascii="Century Schoolbook" w:hAnsi="Century Schoolbook"/>
        </w:rPr>
        <w:t xml:space="preserve"> the perilous journeys many migrants make, the discrimination they often face in the receiving countries, and the lack of comprehensive immigration policies in many societies. </w:t>
      </w:r>
    </w:p>
    <w:p w14:paraId="639DC73D" w14:textId="2E806C23" w:rsidR="00BD3848" w:rsidRPr="00E53E52" w:rsidRDefault="00A05A50" w:rsidP="0036367F">
      <w:pPr>
        <w:spacing w:after="120"/>
        <w:ind w:firstLine="720"/>
        <w:jc w:val="both"/>
        <w:rPr>
          <w:rFonts w:ascii="Century Schoolbook" w:hAnsi="Century Schoolbook"/>
        </w:rPr>
      </w:pPr>
      <w:r w:rsidRPr="00E53E52">
        <w:rPr>
          <w:rFonts w:ascii="Century Schoolbook" w:hAnsi="Century Schoolbook"/>
        </w:rPr>
        <w:t>Meanwhile, t</w:t>
      </w:r>
      <w:r w:rsidRPr="00E53E52">
        <w:rPr>
          <w:rFonts w:ascii="Century Schoolbook" w:eastAsia="Times New Roman" w:hAnsi="Century Schoolbook" w:cs="Arial"/>
          <w:color w:val="333333"/>
          <w:shd w:val="clear" w:color="auto" w:fill="FFFFFF"/>
        </w:rPr>
        <w:t>he President of the General Assembly appointed Dina Kawa</w:t>
      </w:r>
      <w:r w:rsidR="004A6276" w:rsidRPr="00E53E52">
        <w:rPr>
          <w:rFonts w:ascii="Century Schoolbook" w:eastAsia="Times New Roman" w:hAnsi="Century Schoolbook" w:cs="Arial"/>
          <w:color w:val="333333"/>
          <w:shd w:val="clear" w:color="auto" w:fill="FFFFFF"/>
        </w:rPr>
        <w:t>r, Permanent Representative of</w:t>
      </w:r>
      <w:r w:rsidRPr="00E53E52">
        <w:rPr>
          <w:rFonts w:ascii="Century Schoolbook" w:eastAsia="Times New Roman" w:hAnsi="Century Schoolbook" w:cs="Arial"/>
          <w:color w:val="333333"/>
          <w:shd w:val="clear" w:color="auto" w:fill="FFFFFF"/>
        </w:rPr>
        <w:t xml:space="preserve"> Jordan</w:t>
      </w:r>
      <w:r w:rsidR="004A6276" w:rsidRPr="00E53E52">
        <w:rPr>
          <w:rFonts w:ascii="Century Schoolbook" w:eastAsia="Times New Roman" w:hAnsi="Century Schoolbook" w:cs="Arial"/>
          <w:color w:val="333333"/>
          <w:shd w:val="clear" w:color="auto" w:fill="FFFFFF"/>
        </w:rPr>
        <w:t>,</w:t>
      </w:r>
      <w:r w:rsidRPr="00E53E52">
        <w:rPr>
          <w:rFonts w:ascii="Century Schoolbook" w:eastAsia="Times New Roman" w:hAnsi="Century Schoolbook" w:cs="Arial"/>
          <w:color w:val="333333"/>
          <w:shd w:val="clear" w:color="auto" w:fill="FFFFFF"/>
        </w:rPr>
        <w:t xml:space="preserve"> and David Donoghue, Permanent Representative of Ireland</w:t>
      </w:r>
      <w:r w:rsidR="004A6276" w:rsidRPr="00E53E52">
        <w:rPr>
          <w:rFonts w:ascii="Century Schoolbook" w:eastAsia="Times New Roman" w:hAnsi="Century Schoolbook" w:cs="Arial"/>
          <w:color w:val="333333"/>
          <w:shd w:val="clear" w:color="auto" w:fill="FFFFFF"/>
        </w:rPr>
        <w:t xml:space="preserve">, to jointly lead consultations with U.N. Member States to </w:t>
      </w:r>
      <w:r w:rsidR="003C7385" w:rsidRPr="00E53E52">
        <w:rPr>
          <w:rFonts w:ascii="Century Schoolbook" w:eastAsia="Times New Roman" w:hAnsi="Century Schoolbook" w:cs="Arial"/>
          <w:color w:val="333333"/>
          <w:shd w:val="clear" w:color="auto" w:fill="FFFFFF"/>
        </w:rPr>
        <w:t xml:space="preserve">develop possible action </w:t>
      </w:r>
      <w:r w:rsidR="003C7385" w:rsidRPr="00E53E52">
        <w:rPr>
          <w:rFonts w:ascii="Century Schoolbook" w:eastAsia="Times New Roman" w:hAnsi="Century Schoolbook" w:cs="Arial"/>
          <w:color w:val="333333"/>
          <w:shd w:val="clear" w:color="auto" w:fill="FFFFFF"/>
        </w:rPr>
        <w:lastRenderedPageBreak/>
        <w:t>plans and other outcomes.</w:t>
      </w:r>
      <w:r w:rsidR="00810FDA" w:rsidRPr="00E53E52">
        <w:rPr>
          <w:rFonts w:ascii="Century Schoolbook" w:eastAsia="Times New Roman" w:hAnsi="Century Schoolbook" w:cs="Arial"/>
          <w:color w:val="333333"/>
          <w:shd w:val="clear" w:color="auto" w:fill="FFFFFF"/>
        </w:rPr>
        <w:t xml:space="preserve"> </w:t>
      </w:r>
      <w:r w:rsidR="009E65AB" w:rsidRPr="00E53E52">
        <w:rPr>
          <w:rFonts w:ascii="Century Schoolbook" w:eastAsia="Times New Roman" w:hAnsi="Century Schoolbook" w:cs="Arial"/>
          <w:color w:val="333333"/>
          <w:shd w:val="clear" w:color="auto" w:fill="FFFFFF"/>
        </w:rPr>
        <w:t xml:space="preserve">After hearings and </w:t>
      </w:r>
      <w:r w:rsidR="007F331A" w:rsidRPr="00E53E52">
        <w:rPr>
          <w:rFonts w:ascii="Century Schoolbook" w:eastAsia="Times New Roman" w:hAnsi="Century Schoolbook" w:cs="Arial"/>
          <w:color w:val="333333"/>
          <w:shd w:val="clear" w:color="auto" w:fill="FFFFFF"/>
        </w:rPr>
        <w:t xml:space="preserve">discussions involving </w:t>
      </w:r>
      <w:r w:rsidR="009E65AB" w:rsidRPr="00E53E52">
        <w:rPr>
          <w:rFonts w:ascii="Century Schoolbook" w:eastAsia="Times New Roman" w:hAnsi="Century Schoolbook" w:cs="Arial"/>
          <w:color w:val="333333"/>
          <w:shd w:val="clear" w:color="auto" w:fill="FFFFFF"/>
        </w:rPr>
        <w:t xml:space="preserve">government officials, civil society organizations, </w:t>
      </w:r>
      <w:r w:rsidR="004401FF" w:rsidRPr="00E53E52">
        <w:rPr>
          <w:rFonts w:ascii="Century Schoolbook" w:eastAsia="Times New Roman" w:hAnsi="Century Schoolbook" w:cs="Arial"/>
          <w:color w:val="333333"/>
          <w:shd w:val="clear" w:color="auto" w:fill="FFFFFF"/>
        </w:rPr>
        <w:t xml:space="preserve">members of the private sector, and others, intergovernmental negotiations </w:t>
      </w:r>
      <w:r w:rsidR="00262E37" w:rsidRPr="00E53E52">
        <w:rPr>
          <w:rFonts w:ascii="Century Schoolbook" w:eastAsia="Times New Roman" w:hAnsi="Century Schoolbook" w:cs="Arial"/>
          <w:color w:val="333333"/>
          <w:shd w:val="clear" w:color="auto" w:fill="FFFFFF"/>
        </w:rPr>
        <w:t xml:space="preserve">in August 2016 </w:t>
      </w:r>
      <w:r w:rsidR="004401FF" w:rsidRPr="00E53E52">
        <w:rPr>
          <w:rFonts w:ascii="Century Schoolbook" w:eastAsia="Times New Roman" w:hAnsi="Century Schoolbook" w:cs="Arial"/>
          <w:color w:val="333333"/>
          <w:shd w:val="clear" w:color="auto" w:fill="FFFFFF"/>
        </w:rPr>
        <w:t xml:space="preserve">led to </w:t>
      </w:r>
      <w:r w:rsidR="00065058" w:rsidRPr="00E53E52">
        <w:rPr>
          <w:rFonts w:ascii="Century Schoolbook" w:eastAsia="Times New Roman" w:hAnsi="Century Schoolbook" w:cs="Arial"/>
          <w:color w:val="333333"/>
          <w:shd w:val="clear" w:color="auto" w:fill="FFFFFF"/>
        </w:rPr>
        <w:t xml:space="preserve">a </w:t>
      </w:r>
      <w:r w:rsidR="00236708" w:rsidRPr="00E53E52">
        <w:rPr>
          <w:rFonts w:ascii="Century Schoolbook" w:eastAsia="Times New Roman" w:hAnsi="Century Schoolbook" w:cs="Arial"/>
          <w:color w:val="333333"/>
          <w:shd w:val="clear" w:color="auto" w:fill="FFFFFF"/>
        </w:rPr>
        <w:t>document to</w:t>
      </w:r>
      <w:r w:rsidR="003C7385" w:rsidRPr="00E53E52">
        <w:rPr>
          <w:rFonts w:ascii="Century Schoolbook" w:eastAsia="Times New Roman" w:hAnsi="Century Schoolbook" w:cs="Arial"/>
          <w:color w:val="333333"/>
          <w:shd w:val="clear" w:color="auto" w:fill="FFFFFF"/>
        </w:rPr>
        <w:t xml:space="preserve"> </w:t>
      </w:r>
      <w:r w:rsidR="00AF7ED4" w:rsidRPr="00E53E52">
        <w:rPr>
          <w:rFonts w:ascii="Century Schoolbook" w:eastAsia="Times New Roman" w:hAnsi="Century Schoolbook" w:cs="Arial"/>
          <w:color w:val="333333"/>
          <w:shd w:val="clear" w:color="auto" w:fill="FFFFFF"/>
        </w:rPr>
        <w:t>guide the discussion during the Summit.</w:t>
      </w:r>
      <w:r w:rsidR="006B7302" w:rsidRPr="00E53E52">
        <w:rPr>
          <w:rFonts w:ascii="Century Schoolbook" w:eastAsia="Times New Roman" w:hAnsi="Century Schoolbook" w:cs="Arial"/>
          <w:color w:val="333333"/>
          <w:shd w:val="clear" w:color="auto" w:fill="FFFFFF"/>
        </w:rPr>
        <w:t xml:space="preserve"> Annex I of the document</w:t>
      </w:r>
      <w:r w:rsidR="00896ECF" w:rsidRPr="00E53E52">
        <w:rPr>
          <w:rFonts w:ascii="Century Schoolbook" w:eastAsia="Times New Roman" w:hAnsi="Century Schoolbook" w:cs="Arial"/>
          <w:color w:val="333333"/>
          <w:shd w:val="clear" w:color="auto" w:fill="FFFFFF"/>
        </w:rPr>
        <w:t xml:space="preserve"> contains a Comprehensive Refugee Response Framework</w:t>
      </w:r>
      <w:r w:rsidR="008C459E" w:rsidRPr="00E53E52">
        <w:rPr>
          <w:rFonts w:ascii="Century Schoolbook" w:eastAsia="Times New Roman" w:hAnsi="Century Schoolbook" w:cs="Arial"/>
          <w:color w:val="333333"/>
          <w:shd w:val="clear" w:color="auto" w:fill="FFFFFF"/>
        </w:rPr>
        <w:t>, to be spearheaded by UNHCR in situations involving large-scale refugee movements.</w:t>
      </w:r>
      <w:r w:rsidR="00810FDA" w:rsidRPr="00E53E52">
        <w:rPr>
          <w:rFonts w:ascii="Century Schoolbook" w:eastAsia="Times New Roman" w:hAnsi="Century Schoolbook" w:cs="Arial"/>
          <w:color w:val="333333"/>
          <w:shd w:val="clear" w:color="auto" w:fill="FFFFFF"/>
        </w:rPr>
        <w:t xml:space="preserve"> </w:t>
      </w:r>
      <w:r w:rsidR="00EF4D6D" w:rsidRPr="00E53E52">
        <w:rPr>
          <w:rFonts w:ascii="Century Schoolbook" w:eastAsia="Times New Roman" w:hAnsi="Century Schoolbook" w:cs="Arial"/>
          <w:color w:val="333333"/>
          <w:shd w:val="clear" w:color="auto" w:fill="FFFFFF"/>
        </w:rPr>
        <w:t>Annex I concludes with the call for a Global Refugee Compact to be</w:t>
      </w:r>
      <w:r w:rsidR="00D83A82" w:rsidRPr="00E53E52">
        <w:rPr>
          <w:rFonts w:ascii="Century Schoolbook" w:eastAsia="Times New Roman" w:hAnsi="Century Schoolbook" w:cs="Arial"/>
          <w:color w:val="333333"/>
          <w:shd w:val="clear" w:color="auto" w:fill="FFFFFF"/>
        </w:rPr>
        <w:t xml:space="preserve"> adopted in 2018.</w:t>
      </w:r>
      <w:r w:rsidR="00810FDA" w:rsidRPr="00E53E52">
        <w:rPr>
          <w:rFonts w:ascii="Century Schoolbook" w:eastAsia="Times New Roman" w:hAnsi="Century Schoolbook" w:cs="Arial"/>
          <w:color w:val="333333"/>
          <w:shd w:val="clear" w:color="auto" w:fill="FFFFFF"/>
        </w:rPr>
        <w:t xml:space="preserve"> </w:t>
      </w:r>
      <w:r w:rsidR="00D83A82" w:rsidRPr="00E53E52">
        <w:rPr>
          <w:rFonts w:ascii="Century Schoolbook" w:eastAsia="Times New Roman" w:hAnsi="Century Schoolbook" w:cs="Arial"/>
          <w:color w:val="333333"/>
          <w:shd w:val="clear" w:color="auto" w:fill="FFFFFF"/>
        </w:rPr>
        <w:t xml:space="preserve">Annex II calls for a separate Global Compact for Safe, Orderly, and </w:t>
      </w:r>
      <w:r w:rsidR="005F773C" w:rsidRPr="00E53E52">
        <w:rPr>
          <w:rFonts w:ascii="Century Schoolbook" w:eastAsia="Times New Roman" w:hAnsi="Century Schoolbook" w:cs="Arial"/>
          <w:color w:val="333333"/>
          <w:shd w:val="clear" w:color="auto" w:fill="FFFFFF"/>
        </w:rPr>
        <w:t xml:space="preserve">Regular </w:t>
      </w:r>
      <w:r w:rsidR="00D83A82" w:rsidRPr="00E53E52">
        <w:rPr>
          <w:rFonts w:ascii="Century Schoolbook" w:eastAsia="Times New Roman" w:hAnsi="Century Schoolbook" w:cs="Arial"/>
          <w:color w:val="333333"/>
          <w:shd w:val="clear" w:color="auto" w:fill="FFFFFF"/>
        </w:rPr>
        <w:t>Migration.</w:t>
      </w:r>
      <w:r w:rsidR="00810FDA" w:rsidRPr="00E53E52">
        <w:rPr>
          <w:rFonts w:ascii="Century Schoolbook" w:eastAsia="Times New Roman" w:hAnsi="Century Schoolbook" w:cs="Arial"/>
          <w:color w:val="333333"/>
          <w:shd w:val="clear" w:color="auto" w:fill="FFFFFF"/>
        </w:rPr>
        <w:t xml:space="preserve"> </w:t>
      </w:r>
      <w:r w:rsidR="00396F27" w:rsidRPr="00E53E52">
        <w:rPr>
          <w:rFonts w:ascii="Century Schoolbook" w:eastAsia="Times New Roman" w:hAnsi="Century Schoolbook" w:cs="Arial"/>
          <w:color w:val="333333"/>
          <w:shd w:val="clear" w:color="auto" w:fill="FFFFFF"/>
        </w:rPr>
        <w:t xml:space="preserve">It envisions </w:t>
      </w:r>
      <w:r w:rsidR="00180C2E" w:rsidRPr="00E53E52">
        <w:rPr>
          <w:rFonts w:ascii="Century Schoolbook" w:eastAsia="Times New Roman" w:hAnsi="Century Schoolbook" w:cs="Arial"/>
          <w:color w:val="333333"/>
          <w:shd w:val="clear" w:color="auto" w:fill="FFFFFF"/>
        </w:rPr>
        <w:t xml:space="preserve">adoption of </w:t>
      </w:r>
      <w:r w:rsidR="001D4FD0" w:rsidRPr="00E53E52">
        <w:rPr>
          <w:rFonts w:ascii="Century Schoolbook" w:eastAsia="Times New Roman" w:hAnsi="Century Schoolbook" w:cs="Arial"/>
          <w:color w:val="333333"/>
          <w:shd w:val="clear" w:color="auto" w:fill="FFFFFF"/>
        </w:rPr>
        <w:t xml:space="preserve">the Global Compact at an </w:t>
      </w:r>
      <w:r w:rsidR="00396F27" w:rsidRPr="00E53E52">
        <w:rPr>
          <w:rFonts w:ascii="Century Schoolbook" w:eastAsia="Times New Roman" w:hAnsi="Century Schoolbook" w:cs="Arial"/>
          <w:color w:val="333333"/>
          <w:shd w:val="clear" w:color="auto" w:fill="FFFFFF"/>
        </w:rPr>
        <w:t xml:space="preserve">intergovernmental </w:t>
      </w:r>
      <w:r w:rsidR="001D4FD0" w:rsidRPr="00E53E52">
        <w:rPr>
          <w:rFonts w:ascii="Century Schoolbook" w:eastAsia="Times New Roman" w:hAnsi="Century Schoolbook" w:cs="Arial"/>
          <w:color w:val="333333"/>
          <w:shd w:val="clear" w:color="auto" w:fill="FFFFFF"/>
        </w:rPr>
        <w:t>conference on global migration i</w:t>
      </w:r>
      <w:r w:rsidR="00396F27" w:rsidRPr="00E53E52">
        <w:rPr>
          <w:rFonts w:ascii="Century Schoolbook" w:eastAsia="Times New Roman" w:hAnsi="Century Schoolbook" w:cs="Arial"/>
          <w:color w:val="333333"/>
          <w:shd w:val="clear" w:color="auto" w:fill="FFFFFF"/>
        </w:rPr>
        <w:t>n 2018.</w:t>
      </w:r>
      <w:r w:rsidR="004053A2" w:rsidRPr="00E53E52">
        <w:rPr>
          <w:rFonts w:ascii="Century Schoolbook" w:hAnsi="Century Schoolbook"/>
        </w:rPr>
        <w:t xml:space="preserve"> Further information on the </w:t>
      </w:r>
      <w:r w:rsidR="00A62578" w:rsidRPr="00E53E52">
        <w:rPr>
          <w:rFonts w:ascii="Century Schoolbook" w:hAnsi="Century Schoolbook"/>
        </w:rPr>
        <w:t xml:space="preserve">U.N. Summit for Refugees and Migrants, including background reports and documents, can be found at </w:t>
      </w:r>
      <w:hyperlink r:id="rId14" w:history="1">
        <w:r w:rsidR="00162236" w:rsidRPr="00E53E52">
          <w:rPr>
            <w:rStyle w:val="Hyperlink"/>
            <w:rFonts w:eastAsiaTheme="minorHAnsi" w:cstheme="minorBidi"/>
            <w:sz w:val="22"/>
            <w:szCs w:val="22"/>
          </w:rPr>
          <w:t>https://refugeesmigrants.un.org/summit-refugees-and-migrants-19-september-2016</w:t>
        </w:r>
      </w:hyperlink>
      <w:r w:rsidR="00BD3848" w:rsidRPr="00E53E52">
        <w:rPr>
          <w:rFonts w:ascii="Century Schoolbook" w:hAnsi="Century Schoolbook"/>
        </w:rPr>
        <w:t>.</w:t>
      </w:r>
    </w:p>
    <w:p w14:paraId="3287CADA" w14:textId="746C3981" w:rsidR="00FB3D07" w:rsidRPr="00E53E52" w:rsidRDefault="00CB29D0" w:rsidP="0036367F">
      <w:pPr>
        <w:spacing w:after="120"/>
        <w:ind w:firstLine="720"/>
        <w:jc w:val="both"/>
        <w:rPr>
          <w:rFonts w:ascii="Century Schoolbook" w:eastAsia="Times New Roman" w:hAnsi="Century Schoolbook" w:cs="Lucida Grande"/>
          <w:color w:val="252525"/>
          <w:shd w:val="clear" w:color="auto" w:fill="FFFFFF"/>
        </w:rPr>
      </w:pPr>
      <w:r w:rsidRPr="00E53E52">
        <w:rPr>
          <w:rFonts w:ascii="Century Schoolbook" w:hAnsi="Century Schoolbook"/>
        </w:rPr>
        <w:t>On September 20, 2016</w:t>
      </w:r>
      <w:r w:rsidR="00162236" w:rsidRPr="00E53E52">
        <w:rPr>
          <w:rFonts w:ascii="Century Schoolbook" w:hAnsi="Century Schoolbook"/>
        </w:rPr>
        <w:t xml:space="preserve">, the day following the U.N. Summit, </w:t>
      </w:r>
      <w:r w:rsidR="00FB3D07" w:rsidRPr="00E53E52">
        <w:rPr>
          <w:rFonts w:ascii="Century Schoolbook" w:eastAsia="Times New Roman" w:hAnsi="Century Schoolbook" w:cs="Lucida Grande"/>
          <w:color w:val="252525"/>
          <w:shd w:val="clear" w:color="auto" w:fill="FFFFFF"/>
        </w:rPr>
        <w:t>President Obama host</w:t>
      </w:r>
      <w:r w:rsidR="00864940" w:rsidRPr="00E53E52">
        <w:rPr>
          <w:rFonts w:ascii="Century Schoolbook" w:eastAsia="Times New Roman" w:hAnsi="Century Schoolbook" w:cs="Lucida Grande"/>
          <w:color w:val="252525"/>
          <w:shd w:val="clear" w:color="auto" w:fill="FFFFFF"/>
        </w:rPr>
        <w:t>ed</w:t>
      </w:r>
      <w:r w:rsidR="00FB3D07" w:rsidRPr="00E53E52">
        <w:rPr>
          <w:rFonts w:ascii="Century Schoolbook" w:eastAsia="Times New Roman" w:hAnsi="Century Schoolbook" w:cs="Lucida Grande"/>
          <w:color w:val="252525"/>
          <w:shd w:val="clear" w:color="auto" w:fill="FFFFFF"/>
        </w:rPr>
        <w:t xml:space="preserve"> a Leaders</w:t>
      </w:r>
      <w:r w:rsidR="00C909C4" w:rsidRPr="00E53E52">
        <w:rPr>
          <w:rFonts w:ascii="Century Schoolbook" w:eastAsia="Times New Roman" w:hAnsi="Century Schoolbook" w:cs="Lucida Grande"/>
          <w:color w:val="252525"/>
          <w:shd w:val="clear" w:color="auto" w:fill="FFFFFF"/>
        </w:rPr>
        <w:t>’</w:t>
      </w:r>
      <w:r w:rsidR="00FB3D07" w:rsidRPr="00E53E52">
        <w:rPr>
          <w:rFonts w:ascii="Century Schoolbook" w:eastAsia="Times New Roman" w:hAnsi="Century Schoolbook" w:cs="Lucida Grande"/>
          <w:color w:val="252525"/>
          <w:shd w:val="clear" w:color="auto" w:fill="FFFFFF"/>
        </w:rPr>
        <w:t xml:space="preserve"> Summit on the Global Refug</w:t>
      </w:r>
      <w:r w:rsidRPr="00E53E52">
        <w:rPr>
          <w:rFonts w:ascii="Century Schoolbook" w:eastAsia="Times New Roman" w:hAnsi="Century Schoolbook" w:cs="Lucida Grande"/>
          <w:color w:val="252525"/>
          <w:shd w:val="clear" w:color="auto" w:fill="FFFFFF"/>
        </w:rPr>
        <w:t>ee Crisis.</w:t>
      </w:r>
      <w:r w:rsidR="00810FDA" w:rsidRPr="00E53E52">
        <w:rPr>
          <w:rFonts w:ascii="Century Schoolbook" w:eastAsia="Times New Roman" w:hAnsi="Century Schoolbook" w:cs="Lucida Grande"/>
          <w:color w:val="252525"/>
          <w:shd w:val="clear" w:color="auto" w:fill="FFFFFF"/>
        </w:rPr>
        <w:t xml:space="preserve"> </w:t>
      </w:r>
      <w:r w:rsidRPr="00E53E52">
        <w:rPr>
          <w:rFonts w:ascii="Century Schoolbook" w:eastAsia="Times New Roman" w:hAnsi="Century Schoolbook" w:cs="Lucida Grande"/>
          <w:color w:val="252525"/>
          <w:shd w:val="clear" w:color="auto" w:fill="FFFFFF"/>
        </w:rPr>
        <w:t xml:space="preserve">Scheduled to take advantage of the world leaders who will gather for the </w:t>
      </w:r>
      <w:r w:rsidR="00151CA6" w:rsidRPr="00E53E52">
        <w:rPr>
          <w:rFonts w:ascii="Century Schoolbook" w:eastAsia="Times New Roman" w:hAnsi="Century Schoolbook" w:cs="Lucida Grande"/>
          <w:color w:val="252525"/>
          <w:shd w:val="clear" w:color="auto" w:fill="FFFFFF"/>
        </w:rPr>
        <w:t xml:space="preserve">annual opening of the </w:t>
      </w:r>
      <w:r w:rsidRPr="00E53E52">
        <w:rPr>
          <w:rFonts w:ascii="Century Schoolbook" w:eastAsia="Times New Roman" w:hAnsi="Century Schoolbook" w:cs="Lucida Grande"/>
          <w:color w:val="252525"/>
          <w:shd w:val="clear" w:color="auto" w:fill="FFFFFF"/>
        </w:rPr>
        <w:t xml:space="preserve">U.N. </w:t>
      </w:r>
      <w:r w:rsidR="00974C7B" w:rsidRPr="00E53E52">
        <w:rPr>
          <w:rFonts w:ascii="Century Schoolbook" w:eastAsia="Times New Roman" w:hAnsi="Century Schoolbook" w:cs="Lucida Grande"/>
          <w:color w:val="252525"/>
          <w:shd w:val="clear" w:color="auto" w:fill="FFFFFF"/>
        </w:rPr>
        <w:t xml:space="preserve">General Assembly and for the Summit on Refugees and Migrants, </w:t>
      </w:r>
      <w:r w:rsidR="005A72BF" w:rsidRPr="00E53E52">
        <w:rPr>
          <w:rFonts w:ascii="Century Schoolbook" w:eastAsia="Times New Roman" w:hAnsi="Century Schoolbook" w:cs="Lucida Grande"/>
          <w:color w:val="252525"/>
          <w:shd w:val="clear" w:color="auto" w:fill="FFFFFF"/>
        </w:rPr>
        <w:t xml:space="preserve">the Obama Administration </w:t>
      </w:r>
      <w:r w:rsidR="00A81027" w:rsidRPr="00E53E52">
        <w:rPr>
          <w:rFonts w:ascii="Century Schoolbook" w:eastAsia="Times New Roman" w:hAnsi="Century Schoolbook" w:cs="Lucida Grande"/>
          <w:color w:val="252525"/>
          <w:shd w:val="clear" w:color="auto" w:fill="FFFFFF"/>
        </w:rPr>
        <w:t>work</w:t>
      </w:r>
      <w:r w:rsidR="000B4D68" w:rsidRPr="00E53E52">
        <w:rPr>
          <w:rFonts w:ascii="Century Schoolbook" w:eastAsia="Times New Roman" w:hAnsi="Century Schoolbook" w:cs="Lucida Grande"/>
          <w:color w:val="252525"/>
          <w:shd w:val="clear" w:color="auto" w:fill="FFFFFF"/>
        </w:rPr>
        <w:t>ed</w:t>
      </w:r>
      <w:r w:rsidR="00A81027" w:rsidRPr="00E53E52">
        <w:rPr>
          <w:rFonts w:ascii="Century Schoolbook" w:eastAsia="Times New Roman" w:hAnsi="Century Schoolbook" w:cs="Lucida Grande"/>
          <w:color w:val="252525"/>
          <w:shd w:val="clear" w:color="auto" w:fill="FFFFFF"/>
        </w:rPr>
        <w:t xml:space="preserve"> to </w:t>
      </w:r>
      <w:r w:rsidR="00A8249E" w:rsidRPr="00E53E52">
        <w:rPr>
          <w:rFonts w:ascii="Century Schoolbook" w:eastAsia="Times New Roman" w:hAnsi="Century Schoolbook" w:cs="Lucida Grande"/>
          <w:color w:val="252525"/>
          <w:shd w:val="clear" w:color="auto" w:fill="FFFFFF"/>
        </w:rPr>
        <w:t>obtain</w:t>
      </w:r>
      <w:r w:rsidR="00A81027" w:rsidRPr="00E53E52">
        <w:rPr>
          <w:rFonts w:ascii="Century Schoolbook" w:eastAsia="Times New Roman" w:hAnsi="Century Schoolbook" w:cs="Lucida Grande"/>
          <w:color w:val="252525"/>
          <w:shd w:val="clear" w:color="auto" w:fill="FFFFFF"/>
        </w:rPr>
        <w:t xml:space="preserve"> new commitments </w:t>
      </w:r>
      <w:r w:rsidR="00AD37B5" w:rsidRPr="00E53E52">
        <w:rPr>
          <w:rFonts w:ascii="Century Schoolbook" w:eastAsia="Times New Roman" w:hAnsi="Century Schoolbook" w:cs="Lucida Grande"/>
          <w:color w:val="252525"/>
          <w:shd w:val="clear" w:color="auto" w:fill="FFFFFF"/>
        </w:rPr>
        <w:t xml:space="preserve">to refugees from governments </w:t>
      </w:r>
      <w:r w:rsidR="00A81027" w:rsidRPr="00E53E52">
        <w:rPr>
          <w:rFonts w:ascii="Century Schoolbook" w:eastAsia="Times New Roman" w:hAnsi="Century Schoolbook" w:cs="Lucida Grande"/>
          <w:color w:val="252525"/>
          <w:shd w:val="clear" w:color="auto" w:fill="FFFFFF"/>
        </w:rPr>
        <w:t>around the world.</w:t>
      </w:r>
      <w:r w:rsidR="00810FDA" w:rsidRPr="00E53E52">
        <w:rPr>
          <w:rFonts w:ascii="Century Schoolbook" w:eastAsia="Times New Roman" w:hAnsi="Century Schoolbook" w:cs="Lucida Grande"/>
          <w:color w:val="252525"/>
          <w:shd w:val="clear" w:color="auto" w:fill="FFFFFF"/>
        </w:rPr>
        <w:t xml:space="preserve"> </w:t>
      </w:r>
      <w:r w:rsidR="00A8249E" w:rsidRPr="00E53E52">
        <w:rPr>
          <w:rFonts w:ascii="Century Schoolbook" w:eastAsia="Times New Roman" w:hAnsi="Century Schoolbook" w:cs="Lucida Grande"/>
          <w:color w:val="252525"/>
          <w:shd w:val="clear" w:color="auto" w:fill="FFFFFF"/>
        </w:rPr>
        <w:t>High priorities include</w:t>
      </w:r>
      <w:r w:rsidR="000B4D68" w:rsidRPr="00E53E52">
        <w:rPr>
          <w:rFonts w:ascii="Century Schoolbook" w:eastAsia="Times New Roman" w:hAnsi="Century Schoolbook" w:cs="Lucida Grande"/>
          <w:color w:val="252525"/>
          <w:shd w:val="clear" w:color="auto" w:fill="FFFFFF"/>
        </w:rPr>
        <w:t>d</w:t>
      </w:r>
      <w:r w:rsidR="00A8249E" w:rsidRPr="00E53E52">
        <w:rPr>
          <w:rFonts w:ascii="Century Schoolbook" w:eastAsia="Times New Roman" w:hAnsi="Century Schoolbook" w:cs="Lucida Grande"/>
          <w:color w:val="252525"/>
          <w:shd w:val="clear" w:color="auto" w:fill="FFFFFF"/>
        </w:rPr>
        <w:t xml:space="preserve"> 1) </w:t>
      </w:r>
      <w:r w:rsidR="00B14F25" w:rsidRPr="00E53E52">
        <w:rPr>
          <w:rFonts w:ascii="Century Schoolbook" w:eastAsia="Times New Roman" w:hAnsi="Century Schoolbook" w:cs="Lucida Grande"/>
          <w:color w:val="252525"/>
          <w:shd w:val="clear" w:color="auto" w:fill="FFFFFF"/>
        </w:rPr>
        <w:t xml:space="preserve">a 30% </w:t>
      </w:r>
      <w:r w:rsidR="00A8249E" w:rsidRPr="00E53E52">
        <w:rPr>
          <w:rFonts w:ascii="Century Schoolbook" w:eastAsia="Times New Roman" w:hAnsi="Century Schoolbook" w:cs="Lucida Grande"/>
          <w:color w:val="252525"/>
          <w:shd w:val="clear" w:color="auto" w:fill="FFFFFF"/>
        </w:rPr>
        <w:t>increas</w:t>
      </w:r>
      <w:r w:rsidR="00370E37" w:rsidRPr="00E53E52">
        <w:rPr>
          <w:rFonts w:ascii="Century Schoolbook" w:eastAsia="Times New Roman" w:hAnsi="Century Schoolbook" w:cs="Lucida Grande"/>
          <w:color w:val="252525"/>
          <w:shd w:val="clear" w:color="auto" w:fill="FFFFFF"/>
        </w:rPr>
        <w:t>e in</w:t>
      </w:r>
      <w:r w:rsidR="00A8249E" w:rsidRPr="00E53E52">
        <w:rPr>
          <w:rFonts w:ascii="Century Schoolbook" w:eastAsia="Times New Roman" w:hAnsi="Century Schoolbook" w:cs="Lucida Grande"/>
          <w:color w:val="252525"/>
          <w:shd w:val="clear" w:color="auto" w:fill="FFFFFF"/>
        </w:rPr>
        <w:t xml:space="preserve"> funding for</w:t>
      </w:r>
      <w:r w:rsidR="00FB3D07" w:rsidRPr="00E53E52">
        <w:rPr>
          <w:rFonts w:ascii="Century Schoolbook" w:eastAsia="Times New Roman" w:hAnsi="Century Schoolbook" w:cs="Lucida Grande"/>
          <w:color w:val="252525"/>
          <w:shd w:val="clear" w:color="auto" w:fill="FFFFFF"/>
        </w:rPr>
        <w:t xml:space="preserve"> humanitarian appeals and international organizations, 2) </w:t>
      </w:r>
      <w:r w:rsidR="00370E37" w:rsidRPr="00E53E52">
        <w:rPr>
          <w:rFonts w:ascii="Century Schoolbook" w:eastAsia="Times New Roman" w:hAnsi="Century Schoolbook" w:cs="Lucida Grande"/>
          <w:color w:val="252525"/>
          <w:shd w:val="clear" w:color="auto" w:fill="FFFFFF"/>
        </w:rPr>
        <w:t>a 100% increase in the resettlement of refugees</w:t>
      </w:r>
      <w:r w:rsidR="00FB3D07" w:rsidRPr="00E53E52">
        <w:rPr>
          <w:rFonts w:ascii="Century Schoolbook" w:eastAsia="Times New Roman" w:hAnsi="Century Schoolbook" w:cs="Lucida Grande"/>
          <w:color w:val="252525"/>
          <w:shd w:val="clear" w:color="auto" w:fill="FFFFFF"/>
        </w:rPr>
        <w:t xml:space="preserve">, and 3) </w:t>
      </w:r>
      <w:r w:rsidR="00410673" w:rsidRPr="00E53E52">
        <w:rPr>
          <w:rFonts w:ascii="Century Schoolbook" w:eastAsia="Times New Roman" w:hAnsi="Century Schoolbook" w:cs="Lucida Grande"/>
          <w:color w:val="252525"/>
          <w:shd w:val="clear" w:color="auto" w:fill="FFFFFF"/>
        </w:rPr>
        <w:t xml:space="preserve">to authorize 1,000,000 more refugees </w:t>
      </w:r>
      <w:r w:rsidR="007D6A0C" w:rsidRPr="00E53E52">
        <w:rPr>
          <w:rFonts w:ascii="Century Schoolbook" w:eastAsia="Times New Roman" w:hAnsi="Century Schoolbook" w:cs="Lucida Grande"/>
          <w:color w:val="252525"/>
          <w:shd w:val="clear" w:color="auto" w:fill="FFFFFF"/>
        </w:rPr>
        <w:t>to work legally and</w:t>
      </w:r>
      <w:r w:rsidR="00EA1BA7" w:rsidRPr="00E53E52">
        <w:rPr>
          <w:rFonts w:ascii="Century Schoolbook" w:eastAsia="Times New Roman" w:hAnsi="Century Schoolbook" w:cs="Lucida Grande"/>
          <w:color w:val="252525"/>
          <w:shd w:val="clear" w:color="auto" w:fill="FFFFFF"/>
        </w:rPr>
        <w:t xml:space="preserve"> to place 1,000,000 more refugees in school</w:t>
      </w:r>
      <w:r w:rsidR="00EB2F1E" w:rsidRPr="00E53E52">
        <w:rPr>
          <w:rFonts w:ascii="Century Schoolbook" w:eastAsia="Times New Roman" w:hAnsi="Century Schoolbook" w:cs="Lucida Grande"/>
          <w:color w:val="252525"/>
          <w:shd w:val="clear" w:color="auto" w:fill="FFFFFF"/>
        </w:rPr>
        <w:t>.</w:t>
      </w:r>
      <w:r w:rsidR="00810FDA" w:rsidRPr="00E53E52">
        <w:rPr>
          <w:rFonts w:ascii="Century Schoolbook" w:eastAsia="Times New Roman" w:hAnsi="Century Schoolbook" w:cs="Lucida Grande"/>
          <w:color w:val="252525"/>
          <w:shd w:val="clear" w:color="auto" w:fill="FFFFFF"/>
        </w:rPr>
        <w:t xml:space="preserve"> </w:t>
      </w:r>
      <w:r w:rsidR="00EA1BA7" w:rsidRPr="00E53E52">
        <w:rPr>
          <w:rFonts w:ascii="Century Schoolbook" w:eastAsia="Times New Roman" w:hAnsi="Century Schoolbook" w:cs="Lucida Grande"/>
          <w:color w:val="252525"/>
          <w:shd w:val="clear" w:color="auto" w:fill="FFFFFF"/>
        </w:rPr>
        <w:t>Statement by National Security Advisor</w:t>
      </w:r>
      <w:r w:rsidR="00443072" w:rsidRPr="00E53E52">
        <w:rPr>
          <w:rFonts w:ascii="Century Schoolbook" w:eastAsia="Times New Roman" w:hAnsi="Century Schoolbook" w:cs="Lucida Grande"/>
          <w:color w:val="252525"/>
          <w:shd w:val="clear" w:color="auto" w:fill="FFFFFF"/>
        </w:rPr>
        <w:t xml:space="preserve"> Susan Rice on</w:t>
      </w:r>
      <w:r w:rsidR="00EA1BA7" w:rsidRPr="00E53E52">
        <w:rPr>
          <w:rFonts w:ascii="Century Schoolbook" w:eastAsia="Times New Roman" w:hAnsi="Century Schoolbook" w:cs="Lucida Grande"/>
          <w:color w:val="252525"/>
          <w:shd w:val="clear" w:color="auto" w:fill="FFFFFF"/>
        </w:rPr>
        <w:t xml:space="preserve"> Co-Hosts </w:t>
      </w:r>
      <w:r w:rsidR="00443072" w:rsidRPr="00E53E52">
        <w:rPr>
          <w:rFonts w:ascii="Century Schoolbook" w:eastAsia="Times New Roman" w:hAnsi="Century Schoolbook" w:cs="Lucida Grande"/>
          <w:color w:val="252525"/>
          <w:shd w:val="clear" w:color="auto" w:fill="FFFFFF"/>
        </w:rPr>
        <w:t>for President Obama</w:t>
      </w:r>
      <w:r w:rsidR="00C909C4" w:rsidRPr="00E53E52">
        <w:rPr>
          <w:rFonts w:ascii="Century Schoolbook" w:eastAsia="Times New Roman" w:hAnsi="Century Schoolbook" w:cs="Lucida Grande"/>
          <w:color w:val="252525"/>
          <w:shd w:val="clear" w:color="auto" w:fill="FFFFFF"/>
        </w:rPr>
        <w:t>’</w:t>
      </w:r>
      <w:r w:rsidR="00443072" w:rsidRPr="00E53E52">
        <w:rPr>
          <w:rFonts w:ascii="Century Schoolbook" w:eastAsia="Times New Roman" w:hAnsi="Century Schoolbook" w:cs="Lucida Grande"/>
          <w:color w:val="252525"/>
          <w:shd w:val="clear" w:color="auto" w:fill="FFFFFF"/>
        </w:rPr>
        <w:t>s</w:t>
      </w:r>
      <w:r w:rsidR="00EA1BA7" w:rsidRPr="00E53E52">
        <w:rPr>
          <w:rFonts w:ascii="Century Schoolbook" w:eastAsia="Times New Roman" w:hAnsi="Century Schoolbook" w:cs="Lucida Grande"/>
          <w:color w:val="252525"/>
          <w:shd w:val="clear" w:color="auto" w:fill="FFFFFF"/>
        </w:rPr>
        <w:t xml:space="preserve"> Leaders</w:t>
      </w:r>
      <w:r w:rsidR="00C909C4" w:rsidRPr="00E53E52">
        <w:rPr>
          <w:rFonts w:ascii="Century Schoolbook" w:eastAsia="Times New Roman" w:hAnsi="Century Schoolbook" w:cs="Lucida Grande"/>
          <w:color w:val="252525"/>
          <w:shd w:val="clear" w:color="auto" w:fill="FFFFFF"/>
        </w:rPr>
        <w:t>’</w:t>
      </w:r>
      <w:r w:rsidR="00EA1BA7" w:rsidRPr="00E53E52">
        <w:rPr>
          <w:rFonts w:ascii="Century Schoolbook" w:eastAsia="Times New Roman" w:hAnsi="Century Schoolbook" w:cs="Lucida Grande"/>
          <w:color w:val="252525"/>
          <w:shd w:val="clear" w:color="auto" w:fill="FFFFFF"/>
        </w:rPr>
        <w:t xml:space="preserve"> Summit</w:t>
      </w:r>
      <w:r w:rsidR="00964654" w:rsidRPr="00E53E52">
        <w:rPr>
          <w:rFonts w:ascii="Century Schoolbook" w:eastAsia="Times New Roman" w:hAnsi="Century Schoolbook" w:cs="Lucida Grande"/>
          <w:color w:val="252525"/>
          <w:shd w:val="clear" w:color="auto" w:fill="FFFFFF"/>
        </w:rPr>
        <w:t xml:space="preserve"> on Refugees, June 3, 2016.</w:t>
      </w:r>
      <w:r w:rsidR="00810FDA" w:rsidRPr="00E53E52">
        <w:rPr>
          <w:rFonts w:ascii="Century Schoolbook" w:eastAsia="Times New Roman" w:hAnsi="Century Schoolbook" w:cs="Lucida Grande"/>
          <w:color w:val="252525"/>
          <w:shd w:val="clear" w:color="auto" w:fill="FFFFFF"/>
        </w:rPr>
        <w:t xml:space="preserve"> </w:t>
      </w:r>
      <w:hyperlink r:id="rId15" w:history="1">
        <w:r w:rsidR="00964654" w:rsidRPr="00E53E52">
          <w:rPr>
            <w:rStyle w:val="Hyperlink"/>
            <w:rFonts w:eastAsiaTheme="minorHAnsi" w:cs="Lucida Grande"/>
            <w:sz w:val="22"/>
            <w:szCs w:val="22"/>
            <w:shd w:val="clear" w:color="auto" w:fill="FFFFFF"/>
          </w:rPr>
          <w:t>https://www.whitehouse.gov/the-press-office/2016/06/03/statement-national-security-advisor-susan-rice-co-hosts-president-obamas</w:t>
        </w:r>
      </w:hyperlink>
      <w:r w:rsidR="00964654" w:rsidRPr="00E53E52">
        <w:rPr>
          <w:rFonts w:ascii="Century Schoolbook" w:eastAsia="Times New Roman" w:hAnsi="Century Schoolbook" w:cs="Lucida Grande"/>
          <w:color w:val="252525"/>
          <w:shd w:val="clear" w:color="auto" w:fill="FFFFFF"/>
        </w:rPr>
        <w:t>.</w:t>
      </w:r>
      <w:r w:rsidR="00810FDA" w:rsidRPr="00E53E52">
        <w:rPr>
          <w:rFonts w:ascii="Century Schoolbook" w:eastAsia="Times New Roman" w:hAnsi="Century Schoolbook" w:cs="Lucida Grande"/>
          <w:color w:val="252525"/>
          <w:shd w:val="clear" w:color="auto" w:fill="FFFFFF"/>
        </w:rPr>
        <w:t xml:space="preserve"> </w:t>
      </w:r>
      <w:r w:rsidR="00871305" w:rsidRPr="00E53E52">
        <w:rPr>
          <w:rFonts w:ascii="Century Schoolbook" w:eastAsia="Times New Roman" w:hAnsi="Century Schoolbook" w:cs="Lucida Grande"/>
          <w:color w:val="252525"/>
          <w:shd w:val="clear" w:color="auto" w:fill="FFFFFF"/>
        </w:rPr>
        <w:t xml:space="preserve">Many countries pledged </w:t>
      </w:r>
      <w:r w:rsidR="0063484C" w:rsidRPr="00E53E52">
        <w:rPr>
          <w:rFonts w:ascii="Century Schoolbook" w:eastAsia="Times New Roman" w:hAnsi="Century Schoolbook" w:cs="Lucida Grande"/>
          <w:color w:val="252525"/>
          <w:shd w:val="clear" w:color="auto" w:fill="FFFFFF"/>
        </w:rPr>
        <w:t xml:space="preserve">to increase humanitarian aid to refugees and to accept </w:t>
      </w:r>
      <w:r w:rsidR="009579DA" w:rsidRPr="00E53E52">
        <w:rPr>
          <w:rFonts w:ascii="Century Schoolbook" w:eastAsia="Times New Roman" w:hAnsi="Century Schoolbook" w:cs="Lucida Grande"/>
          <w:color w:val="252525"/>
          <w:shd w:val="clear" w:color="auto" w:fill="FFFFFF"/>
        </w:rPr>
        <w:t>refugees for resettlement.</w:t>
      </w:r>
      <w:r w:rsidR="00810FDA" w:rsidRPr="00E53E52">
        <w:rPr>
          <w:rFonts w:ascii="Century Schoolbook" w:eastAsia="Times New Roman" w:hAnsi="Century Schoolbook" w:cs="Lucida Grande"/>
          <w:color w:val="252525"/>
          <w:shd w:val="clear" w:color="auto" w:fill="FFFFFF"/>
        </w:rPr>
        <w:t xml:space="preserve"> </w:t>
      </w:r>
      <w:r w:rsidR="009579DA" w:rsidRPr="00E53E52">
        <w:rPr>
          <w:rFonts w:ascii="Century Schoolbook" w:eastAsia="Times New Roman" w:hAnsi="Century Schoolbook" w:cs="Lucida Grande"/>
          <w:i/>
          <w:color w:val="252525"/>
          <w:shd w:val="clear" w:color="auto" w:fill="FFFFFF"/>
        </w:rPr>
        <w:t xml:space="preserve">See </w:t>
      </w:r>
      <w:r w:rsidR="0051304C" w:rsidRPr="00E53E52">
        <w:rPr>
          <w:rFonts w:ascii="Century Schoolbook" w:eastAsia="Times New Roman" w:hAnsi="Century Schoolbook" w:cs="Lucida Grande"/>
          <w:i/>
          <w:color w:val="252525"/>
          <w:shd w:val="clear" w:color="auto" w:fill="FFFFFF"/>
        </w:rPr>
        <w:t>Summary Overview Document, Leaders Summit on Refugees</w:t>
      </w:r>
      <w:r w:rsidR="0051304C" w:rsidRPr="00E53E52">
        <w:rPr>
          <w:rFonts w:ascii="Century Schoolbook" w:eastAsia="Times New Roman" w:hAnsi="Century Schoolbook" w:cs="Lucida Grande"/>
          <w:color w:val="252525"/>
          <w:shd w:val="clear" w:color="auto" w:fill="FFFFFF"/>
        </w:rPr>
        <w:t>,</w:t>
      </w:r>
      <w:r w:rsidR="007C1B88" w:rsidRPr="00E53E52">
        <w:rPr>
          <w:rFonts w:ascii="Century Schoolbook" w:eastAsia="Times New Roman" w:hAnsi="Century Schoolbook" w:cs="Lucida Grande"/>
          <w:color w:val="252525"/>
          <w:shd w:val="clear" w:color="auto" w:fill="FFFFFF"/>
        </w:rPr>
        <w:t xml:space="preserve"> Nov. 10, 2016, </w:t>
      </w:r>
      <w:r w:rsidR="0051304C" w:rsidRPr="00E53E52">
        <w:rPr>
          <w:rFonts w:ascii="Century Schoolbook" w:eastAsia="Times New Roman" w:hAnsi="Century Schoolbook" w:cs="Lucida Grande"/>
          <w:color w:val="252525"/>
          <w:shd w:val="clear" w:color="auto" w:fill="FFFFFF"/>
        </w:rPr>
        <w:t>https://refugeesmigrants.un.org/sites/default/files/public_summary_document_refugee_summit_final_11-11-2016.pdf</w:t>
      </w:r>
      <w:r w:rsidR="007C1B88" w:rsidRPr="00E53E52">
        <w:rPr>
          <w:rFonts w:ascii="Century Schoolbook" w:eastAsia="Times New Roman" w:hAnsi="Century Schoolbook" w:cs="Lucida Grande"/>
          <w:color w:val="252525"/>
          <w:shd w:val="clear" w:color="auto" w:fill="FFFFFF"/>
        </w:rPr>
        <w:t>.</w:t>
      </w:r>
    </w:p>
    <w:p w14:paraId="0AAEFDF4" w14:textId="53C66870" w:rsidR="00AC547F" w:rsidRPr="00E53E52" w:rsidRDefault="00AC547F" w:rsidP="001D1D6E">
      <w:pPr>
        <w:spacing w:after="120"/>
        <w:jc w:val="both"/>
        <w:rPr>
          <w:rFonts w:ascii="Century Schoolbook" w:hAnsi="Century Schoolbook"/>
          <w:b/>
          <w:caps/>
        </w:rPr>
      </w:pPr>
      <w:r w:rsidRPr="00E53E52">
        <w:rPr>
          <w:rFonts w:ascii="Century Schoolbook" w:hAnsi="Century Schoolbook"/>
          <w:b/>
          <w:caps/>
        </w:rPr>
        <w:br w:type="page"/>
      </w:r>
    </w:p>
    <w:p w14:paraId="08DCC989" w14:textId="77777777" w:rsidR="004B5BFE" w:rsidRPr="00E53E52" w:rsidRDefault="004B5BFE" w:rsidP="001D1D6E">
      <w:pPr>
        <w:spacing w:after="120"/>
        <w:jc w:val="center"/>
        <w:outlineLvl w:val="0"/>
        <w:rPr>
          <w:rFonts w:ascii="Century Schoolbook" w:hAnsi="Century Schoolbook"/>
          <w:b/>
          <w:caps/>
        </w:rPr>
      </w:pPr>
      <w:r w:rsidRPr="00E53E52">
        <w:rPr>
          <w:rFonts w:ascii="Century Schoolbook" w:hAnsi="Century Schoolbook"/>
          <w:b/>
          <w:caps/>
        </w:rPr>
        <w:lastRenderedPageBreak/>
        <w:t>chapter tWO</w:t>
      </w:r>
    </w:p>
    <w:p w14:paraId="192C3C6D" w14:textId="77777777" w:rsidR="004B5BFE" w:rsidRPr="00E53E52" w:rsidRDefault="004B5BFE" w:rsidP="001D1D6E">
      <w:pPr>
        <w:spacing w:after="120"/>
        <w:jc w:val="center"/>
        <w:rPr>
          <w:rFonts w:ascii="Century Schoolbook" w:hAnsi="Century Schoolbook"/>
          <w:b/>
          <w:caps/>
        </w:rPr>
      </w:pPr>
      <w:r w:rsidRPr="00E53E52">
        <w:rPr>
          <w:rFonts w:ascii="Century Schoolbook" w:hAnsi="Century Schoolbook"/>
          <w:b/>
          <w:caps/>
        </w:rPr>
        <w:t xml:space="preserve">PROTECTION IN THE uNITED STATES: </w:t>
      </w:r>
      <w:r w:rsidRPr="00E53E52">
        <w:rPr>
          <w:rFonts w:ascii="Century Schoolbook" w:hAnsi="Century Schoolbook"/>
          <w:b/>
          <w:i/>
          <w:caps/>
        </w:rPr>
        <w:t xml:space="preserve">NONREFOULEMENT </w:t>
      </w:r>
      <w:r w:rsidRPr="00E53E52">
        <w:rPr>
          <w:rFonts w:ascii="Century Schoolbook" w:hAnsi="Century Schoolbook"/>
          <w:b/>
          <w:caps/>
        </w:rPr>
        <w:t>AND ASYLUM</w:t>
      </w:r>
    </w:p>
    <w:p w14:paraId="70BDAADF" w14:textId="10925246" w:rsidR="007577AB" w:rsidRPr="00E53E52" w:rsidRDefault="007577AB" w:rsidP="007577AB">
      <w:pPr>
        <w:spacing w:after="120"/>
        <w:rPr>
          <w:rFonts w:ascii="Century Schoolbook" w:hAnsi="Century Schoolbook"/>
          <w:b/>
        </w:rPr>
      </w:pPr>
      <w:r w:rsidRPr="00E53E52">
        <w:rPr>
          <w:rFonts w:ascii="Century Schoolbook" w:hAnsi="Century Schoolbook"/>
          <w:b/>
        </w:rPr>
        <w:t>p. 101, after first full paragraph, add:</w:t>
      </w:r>
    </w:p>
    <w:p w14:paraId="27403B91" w14:textId="77777777" w:rsidR="007577AB" w:rsidRPr="00E53E52" w:rsidRDefault="007577AB" w:rsidP="007577AB">
      <w:pPr>
        <w:spacing w:after="120"/>
        <w:ind w:firstLine="720"/>
        <w:jc w:val="both"/>
        <w:rPr>
          <w:rFonts w:ascii="Century Schoolbook" w:eastAsiaTheme="minorEastAsia" w:hAnsi="Century Schoolbook" w:cs="Times New Roman"/>
        </w:rPr>
      </w:pPr>
      <w:r w:rsidRPr="00E53E52">
        <w:rPr>
          <w:rStyle w:val="Hyperlink"/>
          <w:rFonts w:eastAsiaTheme="minorHAnsi"/>
          <w:sz w:val="22"/>
          <w:szCs w:val="22"/>
        </w:rPr>
        <w:t xml:space="preserve">The treatment of asylum seekers in credible fear interviews, and afterwards if they are found to have credible fear, has been the focus of two Attorney General decisions followed by federal court litigation. </w:t>
      </w:r>
    </w:p>
    <w:p w14:paraId="6639E94A" w14:textId="45A49138" w:rsidR="007577AB" w:rsidRPr="00E53E52" w:rsidRDefault="007577AB" w:rsidP="007577AB">
      <w:pPr>
        <w:spacing w:after="120"/>
        <w:ind w:firstLine="720"/>
        <w:jc w:val="both"/>
        <w:rPr>
          <w:rFonts w:ascii="Century Schoolbook" w:eastAsiaTheme="minorEastAsia" w:hAnsi="Century Schoolbook" w:cs="Times New Roman"/>
        </w:rPr>
      </w:pPr>
      <w:r w:rsidRPr="00E53E52">
        <w:rPr>
          <w:rFonts w:ascii="Century Schoolbook" w:eastAsiaTheme="minorEastAsia" w:hAnsi="Century Schoolbook" w:cs="Times New Roman"/>
        </w:rPr>
        <w:t xml:space="preserve">In 2018, then-Attorney General Sessions decided </w:t>
      </w:r>
      <w:r w:rsidRPr="00E53E52">
        <w:rPr>
          <w:rFonts w:ascii="Century Schoolbook" w:eastAsiaTheme="minorEastAsia" w:hAnsi="Century Schoolbook" w:cs="Times New Roman"/>
          <w:i/>
          <w:iCs/>
        </w:rPr>
        <w:t>Matter of A-B-</w:t>
      </w:r>
      <w:r w:rsidRPr="00E53E52">
        <w:rPr>
          <w:rFonts w:ascii="Century Schoolbook" w:eastAsiaTheme="minorEastAsia" w:hAnsi="Century Schoolbook" w:cs="Times New Roman"/>
        </w:rPr>
        <w:t xml:space="preserve">, 27 I &amp; N Dec. 316 (AG 2018), which narrowed the definition of persecution on account of membership in a particular social group (required to qualify an applicant for a grant of asylum). is a principal case in the materials to this Update for casebook page </w:t>
      </w:r>
      <w:r w:rsidR="00B648CA" w:rsidRPr="00E53E52">
        <w:rPr>
          <w:rFonts w:ascii="Century Schoolbook" w:eastAsiaTheme="minorEastAsia" w:hAnsi="Century Schoolbook" w:cs="Times New Roman"/>
        </w:rPr>
        <w:t>375</w:t>
      </w:r>
      <w:r w:rsidRPr="00E53E52">
        <w:rPr>
          <w:rFonts w:ascii="Century Schoolbook" w:eastAsiaTheme="minorEastAsia" w:hAnsi="Century Schoolbook" w:cs="Times New Roman"/>
        </w:rPr>
        <w:t xml:space="preserve">. </w:t>
      </w:r>
      <w:r w:rsidRPr="00E53E52">
        <w:rPr>
          <w:rFonts w:ascii="Century Schoolbook" w:eastAsiaTheme="minorEastAsia" w:hAnsi="Century Schoolbook" w:cs="Times New Roman"/>
          <w:i/>
          <w:iCs/>
        </w:rPr>
        <w:t>Matter of A-B-</w:t>
      </w:r>
      <w:r w:rsidRPr="00E53E52">
        <w:rPr>
          <w:rFonts w:ascii="Century Schoolbook" w:eastAsiaTheme="minorEastAsia" w:hAnsi="Century Schoolbook" w:cs="Times New Roman"/>
        </w:rPr>
        <w:t xml:space="preserve"> adopted the view that in general, asylum claims “pertaining to domestic violence or gang violence perpetrated by non-government actors will not qualify for asylum.” </w:t>
      </w:r>
      <w:r w:rsidR="009532A7" w:rsidRPr="00E53E52">
        <w:rPr>
          <w:rFonts w:ascii="Century Schoolbook" w:eastAsiaTheme="minorEastAsia" w:hAnsi="Century Schoolbook" w:cs="Times New Roman"/>
        </w:rPr>
        <w:t xml:space="preserve">The Attorney General </w:t>
      </w:r>
      <w:r w:rsidRPr="00E53E52">
        <w:rPr>
          <w:rFonts w:ascii="Century Schoolbook" w:eastAsiaTheme="minorEastAsia" w:hAnsi="Century Schoolbook" w:cs="Times New Roman"/>
        </w:rPr>
        <w:t xml:space="preserve">found that “[a]ccordingly, few such claims would satisfy the legal standard” for “credible fear.” Soon thereafter, USCIS issued a Policy Memorandum applying the new standards to credible fear interviews. </w:t>
      </w:r>
      <w:r w:rsidRPr="00E53E52">
        <w:rPr>
          <w:rFonts w:ascii="Century Schoolbook" w:eastAsiaTheme="minorEastAsia" w:hAnsi="Century Schoolbook" w:cs="Times New Roman"/>
          <w:i/>
          <w:iCs/>
        </w:rPr>
        <w:t>See</w:t>
      </w:r>
      <w:r w:rsidRPr="00E53E52">
        <w:rPr>
          <w:rFonts w:ascii="Century Schoolbook" w:eastAsiaTheme="minorEastAsia" w:hAnsi="Century Schoolbook" w:cs="Times New Roman"/>
        </w:rPr>
        <w:t xml:space="preserve"> </w:t>
      </w:r>
      <w:r w:rsidRPr="00E53E52">
        <w:rPr>
          <w:rFonts w:ascii="Century Schoolbook" w:hAnsi="Century Schoolbook" w:cs="CenturyExpandedBT-Roman"/>
        </w:rPr>
        <w:t xml:space="preserve">USCIS Policy Mem., </w:t>
      </w:r>
      <w:r w:rsidRPr="00E53E52">
        <w:rPr>
          <w:rFonts w:ascii="Century Schoolbook" w:hAnsi="Century Schoolbook" w:cs="CenturyExpandedBT-Roman"/>
          <w:i/>
          <w:iCs/>
        </w:rPr>
        <w:t xml:space="preserve">Guidance for Processing Reasonable Fear, Credible Fear, Asylum, and Refugee Claims in Accordance with </w:t>
      </w:r>
      <w:r w:rsidRPr="00E53E52">
        <w:rPr>
          <w:rFonts w:ascii="Century Schoolbook" w:hAnsi="Century Schoolbook" w:cs="CenturyExpandedBT-Italic"/>
          <w:i/>
          <w:iCs/>
        </w:rPr>
        <w:t>Matter of A-B-</w:t>
      </w:r>
      <w:r w:rsidRPr="00E53E52">
        <w:rPr>
          <w:rFonts w:ascii="Century Schoolbook" w:hAnsi="Century Schoolbook" w:cs="CenturyExpandedBT-Roman"/>
        </w:rPr>
        <w:t xml:space="preserve">, July 11, 2018. </w:t>
      </w:r>
    </w:p>
    <w:p w14:paraId="56B79DE3" w14:textId="4DF5695F" w:rsidR="007577AB" w:rsidRPr="00E53E52" w:rsidRDefault="007577AB" w:rsidP="007577AB">
      <w:pPr>
        <w:ind w:firstLine="720"/>
        <w:jc w:val="both"/>
        <w:rPr>
          <w:rFonts w:ascii="Century Schoolbook" w:eastAsiaTheme="minorEastAsia" w:hAnsi="Century Schoolbook" w:cs="Times New Roman"/>
        </w:rPr>
      </w:pPr>
      <w:r w:rsidRPr="00E53E52">
        <w:rPr>
          <w:rFonts w:ascii="Century Schoolbook" w:eastAsiaTheme="minorEastAsia" w:hAnsi="Century Schoolbook" w:cs="Times New Roman"/>
        </w:rPr>
        <w:t xml:space="preserve">In December 2018, the federal district court for the District of Columbia issued a permanent injunction blocking the application of the new asylum standards set forth in </w:t>
      </w:r>
      <w:r w:rsidRPr="00E53E52">
        <w:rPr>
          <w:rFonts w:ascii="Century Schoolbook" w:eastAsiaTheme="minorEastAsia" w:hAnsi="Century Schoolbook" w:cs="Times New Roman"/>
          <w:i/>
          <w:iCs/>
        </w:rPr>
        <w:t>Matter of A-B-</w:t>
      </w:r>
      <w:r w:rsidRPr="00E53E52">
        <w:rPr>
          <w:rFonts w:ascii="Century Schoolbook" w:eastAsiaTheme="minorEastAsia" w:hAnsi="Century Schoolbook" w:cs="Times New Roman"/>
        </w:rPr>
        <w:t xml:space="preserve"> and the subsequent Policy Memorandum to credible fear interviews. </w:t>
      </w:r>
      <w:r w:rsidRPr="00E53E52">
        <w:rPr>
          <w:rFonts w:ascii="Century Schoolbook" w:eastAsiaTheme="minorEastAsia" w:hAnsi="Century Schoolbook" w:cs="Times New Roman"/>
          <w:i/>
          <w:iCs/>
        </w:rPr>
        <w:t>See Grace v. Whitaker</w:t>
      </w:r>
      <w:r w:rsidRPr="00E53E52">
        <w:rPr>
          <w:rFonts w:ascii="Century Schoolbook" w:eastAsiaTheme="minorEastAsia" w:hAnsi="Century Schoolbook" w:cs="Times New Roman"/>
        </w:rPr>
        <w:t xml:space="preserve">, 344 F. Supp. 3d 96 (D.D.C. 2018). The court found that applying these more restrictive standards to credible fear interviews would violate the Immigration and Nationality Act and the Administrative Procedure Act. The injunction does not directly affect the application of </w:t>
      </w:r>
      <w:r w:rsidRPr="00E53E52">
        <w:rPr>
          <w:rFonts w:ascii="Century Schoolbook" w:eastAsiaTheme="minorEastAsia" w:hAnsi="Century Schoolbook" w:cs="Times New Roman"/>
          <w:i/>
          <w:iCs/>
        </w:rPr>
        <w:t>Matter of A-B-</w:t>
      </w:r>
      <w:r w:rsidRPr="00E53E52">
        <w:rPr>
          <w:rFonts w:ascii="Century Schoolbook" w:eastAsiaTheme="minorEastAsia" w:hAnsi="Century Schoolbook" w:cs="Times New Roman"/>
        </w:rPr>
        <w:t xml:space="preserve"> to the ultimate decisions in asylum cases. </w:t>
      </w:r>
      <w:r w:rsidRPr="00E53E52">
        <w:rPr>
          <w:rFonts w:ascii="Century Schoolbook" w:hAnsi="Century Schoolbook" w:cs="Times New Roman"/>
        </w:rPr>
        <w:t xml:space="preserve">An edited version of </w:t>
      </w:r>
      <w:r w:rsidRPr="00E53E52">
        <w:rPr>
          <w:rFonts w:ascii="Century Schoolbook" w:eastAsiaTheme="minorEastAsia" w:hAnsi="Century Schoolbook" w:cs="Times New Roman"/>
          <w:i/>
          <w:iCs/>
        </w:rPr>
        <w:t>Matter of A-B-</w:t>
      </w:r>
      <w:r w:rsidRPr="00E53E52">
        <w:rPr>
          <w:rFonts w:ascii="Century Schoolbook" w:eastAsiaTheme="minorEastAsia" w:hAnsi="Century Schoolbook" w:cs="Times New Roman"/>
        </w:rPr>
        <w:t xml:space="preserve">, with Notes and Questions, is in </w:t>
      </w:r>
      <w:r w:rsidRPr="00E53E52">
        <w:rPr>
          <w:rFonts w:ascii="Century Schoolbook" w:hAnsi="Century Schoolbook"/>
        </w:rPr>
        <w:t xml:space="preserve">the material in this Update for casebook page </w:t>
      </w:r>
      <w:r w:rsidR="00397490" w:rsidRPr="00E53E52">
        <w:rPr>
          <w:rFonts w:ascii="Century Schoolbook" w:hAnsi="Century Schoolbook"/>
        </w:rPr>
        <w:t>375</w:t>
      </w:r>
      <w:r w:rsidRPr="00E53E52">
        <w:rPr>
          <w:rFonts w:ascii="Century Schoolbook" w:hAnsi="Century Schoolbook"/>
        </w:rPr>
        <w:t>.</w:t>
      </w:r>
    </w:p>
    <w:p w14:paraId="5D30FDC8" w14:textId="5563F7FF" w:rsidR="007577AB" w:rsidRPr="00E53E52" w:rsidRDefault="007577AB" w:rsidP="007577AB">
      <w:pPr>
        <w:ind w:firstLine="720"/>
        <w:jc w:val="both"/>
        <w:rPr>
          <w:rFonts w:ascii="Century Schoolbook" w:eastAsiaTheme="minorEastAsia" w:hAnsi="Century Schoolbook" w:cs="Times New Roman"/>
        </w:rPr>
      </w:pPr>
      <w:r w:rsidRPr="00E53E52">
        <w:rPr>
          <w:rFonts w:ascii="Century Schoolbook" w:eastAsiaTheme="minorEastAsia" w:hAnsi="Century Schoolbook" w:cs="Times New Roman"/>
        </w:rPr>
        <w:t xml:space="preserve">In the second case, </w:t>
      </w:r>
      <w:r w:rsidRPr="00E53E52">
        <w:rPr>
          <w:rFonts w:ascii="Century Schoolbook" w:eastAsiaTheme="minorEastAsia" w:hAnsi="Century Schoolbook" w:cs="Times New Roman"/>
          <w:i/>
          <w:iCs/>
        </w:rPr>
        <w:t>Matter of M-S-</w:t>
      </w:r>
      <w:r w:rsidRPr="00E53E52">
        <w:rPr>
          <w:rFonts w:ascii="Century Schoolbook" w:eastAsiaTheme="minorEastAsia" w:hAnsi="Century Schoolbook" w:cs="Times New Roman"/>
        </w:rPr>
        <w:t xml:space="preserve">, 27 I &amp; N Dec. 509 (AG 2019), Attorney General William Barr overruled </w:t>
      </w:r>
      <w:r w:rsidRPr="00E53E52">
        <w:rPr>
          <w:rFonts w:ascii="Century Schoolbook" w:eastAsiaTheme="minorEastAsia" w:hAnsi="Century Schoolbook" w:cs="Times New Roman"/>
          <w:i/>
          <w:iCs/>
        </w:rPr>
        <w:t>Matter of X-K-</w:t>
      </w:r>
      <w:r w:rsidRPr="00E53E52">
        <w:rPr>
          <w:rFonts w:ascii="Century Schoolbook" w:eastAsiaTheme="minorEastAsia" w:hAnsi="Century Schoolbook" w:cs="Times New Roman"/>
        </w:rPr>
        <w:t>, 23 I &amp; N Dec. 731 (BIA 2005) and held that immigration judges lack the authority to hold bond hearings for arriving asylum seekers. This decision, to the extent it is implemented, would mean that asylum seekers who pass credible fear screening would be detained for the duration of immigration proceedings to decide their cases. The only exception is for persons granted parole — a decision within the authority of DHS, not an immigration judge. The Attorney General Barr granted a 90-day delay in implementing the decision, “so that DHS may conduct the necessary operational planning for additional detention and parole decisions.”</w:t>
      </w:r>
    </w:p>
    <w:p w14:paraId="3B84C636" w14:textId="77777777" w:rsidR="007577AB" w:rsidRPr="00E53E52" w:rsidRDefault="007577AB" w:rsidP="007577AB">
      <w:pPr>
        <w:ind w:firstLine="720"/>
        <w:jc w:val="both"/>
        <w:rPr>
          <w:rFonts w:ascii="Century Schoolbook" w:eastAsiaTheme="minorEastAsia" w:hAnsi="Century Schoolbook" w:cs="Times New Roman"/>
        </w:rPr>
      </w:pPr>
      <w:r w:rsidRPr="00E53E52">
        <w:rPr>
          <w:rFonts w:ascii="Century Schoolbook" w:eastAsiaTheme="minorEastAsia" w:hAnsi="Century Schoolbook" w:cs="Times New Roman"/>
        </w:rPr>
        <w:t xml:space="preserve">In July 2019, the federal district court for the Western District of Washington issued a preliminary injunction blocking implementation of </w:t>
      </w:r>
      <w:r w:rsidRPr="00E53E52">
        <w:rPr>
          <w:rFonts w:ascii="Century Schoolbook" w:eastAsiaTheme="minorEastAsia" w:hAnsi="Century Schoolbook" w:cs="Times New Roman"/>
          <w:i/>
          <w:iCs/>
        </w:rPr>
        <w:t>Matter of M-S-</w:t>
      </w:r>
      <w:r w:rsidRPr="00E53E52">
        <w:rPr>
          <w:rFonts w:ascii="Century Schoolbook" w:eastAsiaTheme="minorEastAsia" w:hAnsi="Century Schoolbook" w:cs="Times New Roman"/>
        </w:rPr>
        <w:t xml:space="preserve">. The lawsuit was a class action by a nationwide class of noncitizens who entered the United States without inspection, requested asylum, and whom the government has found to have a credible fear of persecution if returned home. Judge Pechman found that class members are likely to succeed on their </w:t>
      </w:r>
      <w:r w:rsidRPr="00E53E52">
        <w:rPr>
          <w:rFonts w:ascii="Century Schoolbook" w:eastAsiaTheme="minorEastAsia" w:hAnsi="Century Schoolbook" w:cs="Times New Roman"/>
        </w:rPr>
        <w:lastRenderedPageBreak/>
        <w:t xml:space="preserve">claim that it violates their due process rights under the U.S. Constitution to deny them any hearings for release on bond while their cases are pending. </w:t>
      </w:r>
      <w:r w:rsidRPr="00E53E52">
        <w:rPr>
          <w:rFonts w:ascii="Century Schoolbook" w:eastAsiaTheme="minorEastAsia" w:hAnsi="Century Schoolbook" w:cs="Times New Roman"/>
          <w:i/>
          <w:iCs/>
        </w:rPr>
        <w:t>See Padilla v. US ICE</w:t>
      </w:r>
      <w:r w:rsidRPr="00E53E52">
        <w:rPr>
          <w:rFonts w:ascii="Century Schoolbook" w:eastAsiaTheme="minorEastAsia" w:hAnsi="Century Schoolbook" w:cs="Times New Roman"/>
        </w:rPr>
        <w:t xml:space="preserve">, 2019 WL 2766720 (W.D. Wash. July 2, 2019). </w:t>
      </w:r>
    </w:p>
    <w:p w14:paraId="6FB4D650" w14:textId="77777777" w:rsidR="007577AB" w:rsidRPr="00E53E52" w:rsidRDefault="007577AB" w:rsidP="007577AB">
      <w:pPr>
        <w:ind w:firstLine="720"/>
        <w:jc w:val="both"/>
        <w:rPr>
          <w:rFonts w:ascii="Century Schoolbook" w:eastAsiaTheme="minorEastAsia" w:hAnsi="Century Schoolbook" w:cs="Times New Roman"/>
        </w:rPr>
      </w:pPr>
      <w:r w:rsidRPr="00E53E52">
        <w:rPr>
          <w:rFonts w:ascii="Century Schoolbook" w:hAnsi="Century Schoolbook"/>
        </w:rPr>
        <w:t xml:space="preserve">Initially, a panel of the Ninth Circuit Court of Appeals temporarily stayed the district court’s order pending appeal, but soon thereafter, another Ninth Circuit panel lifted the temporary stay and reinstituted the crucial part of the district court’s injunction, pending a full appeal on the merits. </w:t>
      </w:r>
      <w:r w:rsidRPr="00E53E52">
        <w:rPr>
          <w:rFonts w:ascii="Century Schoolbook" w:hAnsi="Century Schoolbook"/>
          <w:i/>
        </w:rPr>
        <w:t>See Padilla v. ICE</w:t>
      </w:r>
      <w:r w:rsidRPr="00E53E52">
        <w:rPr>
          <w:rFonts w:ascii="Century Schoolbook" w:hAnsi="Century Schoolbook"/>
        </w:rPr>
        <w:t xml:space="preserve">, No. 19-35565 (9th Cir. July 22, 2019) (declining to stay district court’s ruling that plaintiffs were constitutionally entitled to bond hearing while awaiting resolution of asylum claims). </w:t>
      </w:r>
      <w:r w:rsidRPr="00E53E52">
        <w:rPr>
          <w:rFonts w:ascii="Century Schoolbook" w:eastAsiaTheme="minorEastAsia" w:hAnsi="Century Schoolbook" w:cs="Times New Roman"/>
          <w:i/>
          <w:iCs/>
        </w:rPr>
        <w:t>See Padilla v. ICE</w:t>
      </w:r>
      <w:r w:rsidRPr="00E53E52">
        <w:rPr>
          <w:rFonts w:ascii="Century Schoolbook" w:eastAsiaTheme="minorEastAsia" w:hAnsi="Century Schoolbook" w:cs="Times New Roman"/>
        </w:rPr>
        <w:t>, No. 19-35565 (9th Cir. July 12, 2019).</w:t>
      </w:r>
    </w:p>
    <w:p w14:paraId="11602D34" w14:textId="7783F696" w:rsidR="007577AB" w:rsidRPr="00E53E52" w:rsidRDefault="007577AB" w:rsidP="007577AB">
      <w:pPr>
        <w:spacing w:after="120"/>
        <w:rPr>
          <w:rFonts w:ascii="Century Schoolbook" w:hAnsi="Century Schoolbook"/>
          <w:b/>
        </w:rPr>
      </w:pPr>
      <w:r w:rsidRPr="00E53E52">
        <w:rPr>
          <w:rFonts w:ascii="Century Schoolbook" w:hAnsi="Century Schoolbook"/>
          <w:b/>
        </w:rPr>
        <w:t>p. 101, after second full paragraph, before section 2, add:</w:t>
      </w:r>
    </w:p>
    <w:p w14:paraId="36BFA278" w14:textId="4215A111" w:rsidR="00397490" w:rsidRPr="00E53E52" w:rsidRDefault="009532A7" w:rsidP="007577AB">
      <w:pPr>
        <w:autoSpaceDE w:val="0"/>
        <w:autoSpaceDN w:val="0"/>
        <w:adjustRightInd w:val="0"/>
        <w:spacing w:after="120"/>
        <w:ind w:firstLine="720"/>
        <w:jc w:val="both"/>
        <w:rPr>
          <w:rStyle w:val="Hyperlink"/>
          <w:rFonts w:eastAsiaTheme="minorHAnsi"/>
          <w:sz w:val="22"/>
          <w:szCs w:val="22"/>
        </w:rPr>
      </w:pPr>
      <w:r w:rsidRPr="00E53E52">
        <w:rPr>
          <w:rStyle w:val="Hyperlink"/>
          <w:rFonts w:eastAsiaTheme="minorHAnsi"/>
          <w:sz w:val="22"/>
          <w:szCs w:val="22"/>
        </w:rPr>
        <w:t xml:space="preserve">The </w:t>
      </w:r>
      <w:r w:rsidR="007577AB" w:rsidRPr="00E53E52">
        <w:rPr>
          <w:rStyle w:val="Hyperlink"/>
          <w:rFonts w:eastAsiaTheme="minorHAnsi"/>
          <w:sz w:val="22"/>
          <w:szCs w:val="22"/>
        </w:rPr>
        <w:t xml:space="preserve">Trump administration has directed substantial enforcement resources to the southern border with Mexico, and much of that effort has targeted asylum seekers arriving there, deploying several principal strategies. </w:t>
      </w:r>
    </w:p>
    <w:p w14:paraId="3E07875A" w14:textId="77777777" w:rsidR="00397490" w:rsidRPr="00E53E52" w:rsidRDefault="00397490" w:rsidP="00397490">
      <w:pPr>
        <w:autoSpaceDE w:val="0"/>
        <w:autoSpaceDN w:val="0"/>
        <w:adjustRightInd w:val="0"/>
        <w:spacing w:after="120"/>
        <w:ind w:firstLine="720"/>
        <w:jc w:val="both"/>
        <w:rPr>
          <w:rFonts w:ascii="Century Schoolbook" w:hAnsi="Century Schoolbook"/>
        </w:rPr>
      </w:pPr>
      <w:r w:rsidRPr="00E53E52">
        <w:rPr>
          <w:rFonts w:ascii="Century Schoolbook" w:hAnsi="Century Schoolbook"/>
          <w:i/>
        </w:rPr>
        <w:t xml:space="preserve">Border Wall. </w:t>
      </w:r>
      <w:r w:rsidRPr="00E53E52">
        <w:rPr>
          <w:rFonts w:ascii="Century Schoolbook" w:hAnsi="Century Schoolbook"/>
        </w:rPr>
        <w:t xml:space="preserve">One of President’s Trump’s signature campaign promises was the construction of a wall at the Mexican-U.S. border. The cost of construction was estimated at $21.6 billion over 3½ years. </w:t>
      </w:r>
      <w:hyperlink r:id="rId16" w:history="1">
        <w:r w:rsidRPr="00E53E52">
          <w:rPr>
            <w:rFonts w:ascii="Century Schoolbook" w:eastAsia="Times New Roman" w:hAnsi="Century Schoolbook" w:cs="Times New Roman"/>
            <w:bdr w:val="none" w:sz="0" w:space="0" w:color="auto" w:frame="1"/>
          </w:rPr>
          <w:t>Julia Edwards Ainsley</w:t>
        </w:r>
      </w:hyperlink>
      <w:r w:rsidRPr="00E53E52">
        <w:rPr>
          <w:rFonts w:ascii="Century Schoolbook" w:eastAsia="Times New Roman" w:hAnsi="Century Schoolbook" w:cs="Times New Roman"/>
        </w:rPr>
        <w:t xml:space="preserve">, </w:t>
      </w:r>
      <w:r w:rsidRPr="00E53E52">
        <w:rPr>
          <w:rFonts w:ascii="Century Schoolbook" w:eastAsia="Times New Roman" w:hAnsi="Century Schoolbook" w:cs="Times New Roman"/>
          <w:bCs/>
          <w:i/>
          <w:kern w:val="36"/>
        </w:rPr>
        <w:t xml:space="preserve">Trump border ‘wall’ to cost $21.6 billion, take 3.5 years to build: internal report, </w:t>
      </w:r>
      <w:r w:rsidRPr="00E53E52">
        <w:rPr>
          <w:rFonts w:ascii="Century Schoolbook" w:eastAsia="Times New Roman" w:hAnsi="Century Schoolbook" w:cs="Times New Roman"/>
          <w:bCs/>
          <w:kern w:val="36"/>
        </w:rPr>
        <w:t>Reuters (Feb. 9, 2017).</w:t>
      </w:r>
      <w:r w:rsidRPr="00E53E52">
        <w:rPr>
          <w:rFonts w:ascii="Century Schoolbook" w:hAnsi="Century Schoolbook"/>
        </w:rPr>
        <w:t xml:space="preserve"> Throughout 2017 and 2018, Congress consistently denied the President’s request to fund border wall construction, although it did approve a $1.6 billion measure for border fencing, design, and technology. </w:t>
      </w:r>
    </w:p>
    <w:p w14:paraId="41E0553F" w14:textId="77777777" w:rsidR="00397490" w:rsidRPr="00E53E52" w:rsidRDefault="00397490" w:rsidP="00397490">
      <w:pPr>
        <w:autoSpaceDE w:val="0"/>
        <w:autoSpaceDN w:val="0"/>
        <w:adjustRightInd w:val="0"/>
        <w:spacing w:after="120"/>
        <w:ind w:firstLine="720"/>
        <w:jc w:val="both"/>
        <w:rPr>
          <w:rFonts w:ascii="Century Schoolbook" w:hAnsi="Century Schoolbook"/>
        </w:rPr>
      </w:pPr>
      <w:r w:rsidRPr="00E53E52">
        <w:rPr>
          <w:rFonts w:ascii="Century Schoolbook" w:hAnsi="Century Schoolbook"/>
        </w:rPr>
        <w:t xml:space="preserve">Unhappy with Congress’ refusals, President Trump shut down the federal government in late December 2018 as a bargaining measure intended to pressure Congress to accede to his demand for funding. After a 35-day government shutdown, however, he was unable to secure funding and on February 14, 2019, Trump finally signed a measure to reopen the government. In that measure, Congress appropriated only $1.375 billion to border funding, specifying that the appropriation was for pedestrian fencing in the Rio Grande Valley, and disallowing construction in some wildlife refuges. </w:t>
      </w:r>
    </w:p>
    <w:p w14:paraId="56332BA6" w14:textId="77777777" w:rsidR="00397490" w:rsidRPr="00E53E52" w:rsidRDefault="00397490" w:rsidP="00397490">
      <w:pPr>
        <w:autoSpaceDE w:val="0"/>
        <w:autoSpaceDN w:val="0"/>
        <w:adjustRightInd w:val="0"/>
        <w:spacing w:after="120"/>
        <w:ind w:firstLine="720"/>
        <w:jc w:val="both"/>
        <w:rPr>
          <w:rFonts w:ascii="Century Schoolbook" w:hAnsi="Century Schoolbook"/>
        </w:rPr>
      </w:pPr>
      <w:r w:rsidRPr="00E53E52">
        <w:rPr>
          <w:rFonts w:ascii="Century Schoolbook" w:hAnsi="Century Schoolbook"/>
        </w:rPr>
        <w:t xml:space="preserve">The day after signing the funding bill, President Trump declared a national emergency under the National Emergencies Act. </w:t>
      </w:r>
      <w:r w:rsidRPr="00E53E52">
        <w:rPr>
          <w:rFonts w:ascii="Century Schoolbook" w:hAnsi="Century Schoolbook"/>
          <w:i/>
          <w:iCs/>
        </w:rPr>
        <w:t>See</w:t>
      </w:r>
      <w:r w:rsidRPr="00E53E52">
        <w:rPr>
          <w:rFonts w:ascii="Century Schoolbook" w:hAnsi="Century Schoolbook"/>
        </w:rPr>
        <w:t xml:space="preserve"> Proclamation No. 9844, 84 Fed. Reg. 4949 (2019); </w:t>
      </w:r>
      <w:r w:rsidRPr="00E53E52">
        <w:rPr>
          <w:rFonts w:ascii="Century Schoolbook" w:hAnsi="Century Schoolbook"/>
          <w:i/>
        </w:rPr>
        <w:t>National Emergencies Act</w:t>
      </w:r>
      <w:r w:rsidRPr="00E53E52">
        <w:rPr>
          <w:rFonts w:ascii="Century Schoolbook" w:hAnsi="Century Schoolbook"/>
        </w:rPr>
        <w:t>, 50 U.S.C. §§ 1601-1651. Based on that declaration, the President identified $8.1 billion dollars appropriated to the Departments of Defense and Homeland Security that he intended to divert to border wall construction. The House and the Senate responding by passing a joint resolution terminating the President’s national emergency declaration. The President vetoed the resolution and began to use funds for border wall construction.</w:t>
      </w:r>
    </w:p>
    <w:p w14:paraId="041E7060" w14:textId="77777777" w:rsidR="00397490" w:rsidRPr="00E53E52" w:rsidRDefault="00397490" w:rsidP="00397490">
      <w:pPr>
        <w:autoSpaceDE w:val="0"/>
        <w:autoSpaceDN w:val="0"/>
        <w:adjustRightInd w:val="0"/>
        <w:spacing w:after="120"/>
        <w:ind w:firstLine="720"/>
        <w:jc w:val="both"/>
        <w:rPr>
          <w:rFonts w:ascii="Century Schoolbook" w:hAnsi="Century Schoolbook"/>
        </w:rPr>
      </w:pPr>
      <w:r w:rsidRPr="00E53E52">
        <w:rPr>
          <w:rFonts w:ascii="Century Schoolbook" w:hAnsi="Century Schoolbook"/>
        </w:rPr>
        <w:t xml:space="preserve">On February 19, 2019 the Sierra Club and a group of states, in separate lawsuits, sued the President in the Northern District of California. In May and June, 2019, Judge Hayward Gilliam, presiding over both the states’ and the Sierra Club’s challenges, enjoined the President’s diversion of a significant portion of the targeted funds to build border barriers </w:t>
      </w:r>
      <w:r w:rsidRPr="00E53E52">
        <w:rPr>
          <w:rFonts w:ascii="Century Schoolbook" w:hAnsi="Century Schoolbook"/>
        </w:rPr>
        <w:lastRenderedPageBreak/>
        <w:t xml:space="preserve">in the El Paso, Yuma, El Centro, and Tucson border sectors. Shortly thereafter, a divided panel of the Ninth Circuit Court of Appeals affirmed the district court’s rulings, finding that the President violated constitutional limits on presidential authority in diverting funds for border wall construction when the underlying statutes did not authorize such a diversion, and after Congress had expressly rejected appropriations for that purpose. </w:t>
      </w:r>
    </w:p>
    <w:p w14:paraId="1EC9CA06" w14:textId="77777777" w:rsidR="00397490" w:rsidRPr="00E53E52" w:rsidRDefault="00397490" w:rsidP="00397490">
      <w:pPr>
        <w:autoSpaceDE w:val="0"/>
        <w:autoSpaceDN w:val="0"/>
        <w:adjustRightInd w:val="0"/>
        <w:spacing w:after="120"/>
        <w:ind w:firstLine="720"/>
        <w:jc w:val="both"/>
        <w:rPr>
          <w:rFonts w:ascii="Century Schoolbook" w:hAnsi="Century Schoolbook"/>
        </w:rPr>
      </w:pPr>
      <w:r w:rsidRPr="00E53E52">
        <w:rPr>
          <w:rFonts w:ascii="Century Schoolbook" w:hAnsi="Century Schoolbook"/>
        </w:rPr>
        <w:t xml:space="preserve">The Ninth Circuit majority noted Congress’ repeated denial of border funding requests, quoting extensively from the Supreme Court’s 1952 steel seizure case in holding the President’s actions unlawful. </w:t>
      </w:r>
      <w:r w:rsidRPr="00E53E52">
        <w:rPr>
          <w:rFonts w:ascii="Century Schoolbook" w:hAnsi="Century Schoolbook"/>
          <w:i/>
        </w:rPr>
        <w:t>Sierra Club v. Trump</w:t>
      </w:r>
      <w:r w:rsidRPr="00E53E52">
        <w:rPr>
          <w:rFonts w:ascii="Century Schoolbook" w:hAnsi="Century Schoolbook"/>
        </w:rPr>
        <w:t xml:space="preserve">, 929 F.3d 670 (9th Cir. 2019) (quoting </w:t>
      </w:r>
      <w:r w:rsidRPr="00E53E52">
        <w:rPr>
          <w:rFonts w:ascii="Century Schoolbook" w:hAnsi="Century Schoolbook"/>
          <w:i/>
        </w:rPr>
        <w:t>Youngstown Sheet &amp; Tube v. Sawyer</w:t>
      </w:r>
      <w:r w:rsidRPr="00E53E52">
        <w:rPr>
          <w:rFonts w:ascii="Century Schoolbook" w:hAnsi="Century Schoolbook"/>
        </w:rPr>
        <w:t>, 343 U.S. 579 (1952) (Jackson and Frankfurter, JJ. concurring opinions, finding President Truman’s plan to seize domestic steel mills under a claim of military exigency to exceed the President’s constitutional authority because Congress had expressly declined to provide the President that authority)). Then, on July 26, 2019, the U.S. Supreme Court, by a 5-4 vote, lifted the district court’s injunction, finding that “the Government has made a sufficient showing . . . that the plaintiffs have no cause of action to obtain review . . . .” Without the injunction in place, the administration can proceed with planning and construction until the litigation reaches a decision on the merits.</w:t>
      </w:r>
    </w:p>
    <w:p w14:paraId="441A4C98" w14:textId="772DC5A1" w:rsidR="007577AB" w:rsidRPr="00E53E52" w:rsidRDefault="007577AB" w:rsidP="007577AB">
      <w:pPr>
        <w:autoSpaceDE w:val="0"/>
        <w:autoSpaceDN w:val="0"/>
        <w:adjustRightInd w:val="0"/>
        <w:spacing w:after="120"/>
        <w:ind w:firstLine="720"/>
        <w:jc w:val="both"/>
        <w:rPr>
          <w:rStyle w:val="Hyperlink"/>
          <w:rFonts w:eastAsiaTheme="minorHAnsi"/>
          <w:sz w:val="22"/>
          <w:szCs w:val="22"/>
        </w:rPr>
      </w:pPr>
      <w:r w:rsidRPr="00E53E52">
        <w:rPr>
          <w:rStyle w:val="Hyperlink"/>
          <w:rFonts w:eastAsiaTheme="minorHAnsi"/>
          <w:i/>
          <w:iCs/>
          <w:sz w:val="22"/>
          <w:szCs w:val="22"/>
        </w:rPr>
        <w:t>Port-of-entry requirement</w:t>
      </w:r>
      <w:r w:rsidRPr="00E53E52">
        <w:rPr>
          <w:rStyle w:val="Hyperlink"/>
          <w:rFonts w:eastAsiaTheme="minorHAnsi"/>
          <w:sz w:val="22"/>
          <w:szCs w:val="22"/>
        </w:rPr>
        <w:t xml:space="preserve">. In November 2018, the federal government published an interim rule to make noncitizens ineligible for asylum if they enter the United States in violation of a presidential proclamation barring their entry. </w:t>
      </w:r>
      <w:r w:rsidRPr="00E53E52">
        <w:rPr>
          <w:rStyle w:val="Hyperlink"/>
          <w:rFonts w:eastAsiaTheme="minorHAnsi"/>
          <w:i/>
          <w:iCs/>
          <w:sz w:val="22"/>
          <w:szCs w:val="22"/>
        </w:rPr>
        <w:t>See</w:t>
      </w:r>
      <w:r w:rsidRPr="00E53E52">
        <w:rPr>
          <w:rStyle w:val="Hyperlink"/>
          <w:rFonts w:eastAsiaTheme="minorHAnsi"/>
          <w:sz w:val="22"/>
          <w:szCs w:val="22"/>
        </w:rPr>
        <w:t xml:space="preserve"> </w:t>
      </w:r>
      <w:r w:rsidRPr="00E53E52">
        <w:rPr>
          <w:rStyle w:val="Hyperlink"/>
          <w:rFonts w:eastAsiaTheme="minorHAnsi"/>
          <w:i/>
          <w:iCs/>
          <w:sz w:val="22"/>
          <w:szCs w:val="22"/>
        </w:rPr>
        <w:t>Aliens Subject to a Bar on Entry Under Certain Presidential Proclamations; Procedures for Protection Claims</w:t>
      </w:r>
      <w:r w:rsidRPr="00E53E52">
        <w:rPr>
          <w:rStyle w:val="Hyperlink"/>
          <w:rFonts w:eastAsiaTheme="minorHAnsi"/>
          <w:sz w:val="22"/>
          <w:szCs w:val="22"/>
        </w:rPr>
        <w:t xml:space="preserve">, 83 Fed. Reg. 55934 (Nov. 9, 2018). The same day, the </w:t>
      </w:r>
      <w:r w:rsidR="009532A7" w:rsidRPr="00E53E52">
        <w:rPr>
          <w:rStyle w:val="Hyperlink"/>
          <w:rFonts w:eastAsiaTheme="minorHAnsi"/>
          <w:sz w:val="22"/>
          <w:szCs w:val="22"/>
        </w:rPr>
        <w:t>P</w:t>
      </w:r>
      <w:r w:rsidRPr="00E53E52">
        <w:rPr>
          <w:rStyle w:val="Hyperlink"/>
          <w:rFonts w:eastAsiaTheme="minorHAnsi"/>
          <w:sz w:val="22"/>
          <w:szCs w:val="22"/>
        </w:rPr>
        <w:t xml:space="preserve">resident issued a proclamation — initially for 90 days, then renewed in February 2019 — barring the entry of anyone crossing the southern border unlawfully, that is, between ports of entry. White House, Presidential Proclamation 9822 of Nov. 9, 2018: </w:t>
      </w:r>
      <w:r w:rsidRPr="00E53E52">
        <w:rPr>
          <w:rStyle w:val="Hyperlink"/>
          <w:rFonts w:eastAsiaTheme="minorHAnsi"/>
          <w:i/>
          <w:iCs/>
          <w:sz w:val="22"/>
          <w:szCs w:val="22"/>
        </w:rPr>
        <w:t>Addressing Mass Migration through the Southern Border of the United States</w:t>
      </w:r>
      <w:r w:rsidRPr="00E53E52">
        <w:rPr>
          <w:rStyle w:val="Hyperlink"/>
          <w:rFonts w:eastAsiaTheme="minorHAnsi"/>
          <w:sz w:val="22"/>
          <w:szCs w:val="22"/>
        </w:rPr>
        <w:t>, 83 Fed. Reg. 57661 (Nov. 15, 2018); Presidential Proclamation 9842 of Feb. 7, 2018:</w:t>
      </w:r>
      <w:r w:rsidRPr="00E53E52">
        <w:rPr>
          <w:rStyle w:val="Hyperlink"/>
          <w:rFonts w:eastAsiaTheme="minorHAnsi"/>
          <w:i/>
          <w:iCs/>
          <w:sz w:val="22"/>
          <w:szCs w:val="22"/>
        </w:rPr>
        <w:t xml:space="preserve"> Addressing Mass Migration through the Southern Border of the United States</w:t>
      </w:r>
      <w:r w:rsidRPr="00E53E52">
        <w:rPr>
          <w:rStyle w:val="Hyperlink"/>
          <w:rFonts w:eastAsiaTheme="minorHAnsi"/>
          <w:sz w:val="22"/>
          <w:szCs w:val="22"/>
        </w:rPr>
        <w:t xml:space="preserve">, 84 Fed. Reg. 3665 (Feb. 12, 2019). The result was to make anyone ineligible for asylum except at a port of entry. In December 2018, the federal district court for the Northern District of California issued a preliminary injunction blocking implementation of this regulation as inconsistent with the statutory asylum scheme enacted by Congress, which expressly allows asylum applications “whether or not at a designated port of arrival.” </w:t>
      </w:r>
      <w:r w:rsidRPr="00E53E52">
        <w:rPr>
          <w:rStyle w:val="Hyperlink"/>
          <w:rFonts w:eastAsiaTheme="minorHAnsi"/>
          <w:i/>
          <w:iCs/>
          <w:sz w:val="22"/>
          <w:szCs w:val="22"/>
        </w:rPr>
        <w:t>See East Bay Sanctuary Covenant v. Trump</w:t>
      </w:r>
      <w:r w:rsidRPr="00E53E52">
        <w:rPr>
          <w:rStyle w:val="Hyperlink"/>
          <w:rFonts w:eastAsiaTheme="minorHAnsi"/>
          <w:sz w:val="22"/>
          <w:szCs w:val="22"/>
        </w:rPr>
        <w:t xml:space="preserve">, 354 F. Supp. 3d 1094 (2018) (citing INA § 208(a)(1)). In December 2018, the U.S. Supreme Court, by a 5-4 vote, denied the government’s application for a stay of the preliminary injunction. As of early August 2019, this injunction remains in effect. </w:t>
      </w:r>
    </w:p>
    <w:p w14:paraId="3FF937E3" w14:textId="77777777" w:rsidR="007577AB" w:rsidRPr="00E53E52" w:rsidRDefault="007577AB" w:rsidP="007577AB">
      <w:pPr>
        <w:autoSpaceDE w:val="0"/>
        <w:autoSpaceDN w:val="0"/>
        <w:adjustRightInd w:val="0"/>
        <w:spacing w:after="120"/>
        <w:ind w:firstLine="720"/>
        <w:jc w:val="both"/>
        <w:rPr>
          <w:rFonts w:ascii="Century Schoolbook" w:eastAsiaTheme="minorEastAsia" w:hAnsi="Century Schoolbook" w:cs="Times New Roman"/>
        </w:rPr>
      </w:pPr>
      <w:r w:rsidRPr="00E53E52">
        <w:rPr>
          <w:rStyle w:val="Hyperlink"/>
          <w:rFonts w:eastAsiaTheme="minorHAnsi"/>
          <w:i/>
          <w:iCs/>
          <w:sz w:val="22"/>
          <w:szCs w:val="22"/>
        </w:rPr>
        <w:t>“Metering.”</w:t>
      </w:r>
      <w:r w:rsidRPr="00E53E52">
        <w:rPr>
          <w:rStyle w:val="Hyperlink"/>
          <w:rFonts w:eastAsiaTheme="minorHAnsi"/>
          <w:sz w:val="22"/>
          <w:szCs w:val="22"/>
        </w:rPr>
        <w:t xml:space="preserve"> The administration has been limiting the number of asylum seekers whom it allows to enter the United States at ports of entry. This practice, known informally as “metering,” requires asylum seekers to wait for long periods of time, even months, to present their asylum claims. </w:t>
      </w:r>
      <w:r w:rsidRPr="00E53E52">
        <w:rPr>
          <w:rStyle w:val="Hyperlink"/>
          <w:rFonts w:eastAsiaTheme="minorHAnsi"/>
          <w:i/>
          <w:iCs/>
          <w:sz w:val="22"/>
          <w:szCs w:val="22"/>
        </w:rPr>
        <w:t>See</w:t>
      </w:r>
      <w:r w:rsidRPr="00E53E52">
        <w:rPr>
          <w:rStyle w:val="Hyperlink"/>
          <w:rFonts w:eastAsiaTheme="minorHAnsi"/>
          <w:sz w:val="22"/>
          <w:szCs w:val="22"/>
        </w:rPr>
        <w:t xml:space="preserve"> Kirk Semple, </w:t>
      </w:r>
      <w:r w:rsidRPr="00E53E52">
        <w:rPr>
          <w:rStyle w:val="Hyperlink"/>
          <w:rFonts w:eastAsiaTheme="minorHAnsi"/>
          <w:i/>
          <w:iCs/>
          <w:sz w:val="22"/>
          <w:szCs w:val="22"/>
        </w:rPr>
        <w:t>What Is “La Lista,” Which Controls Migrants’ Fates in Tijuana?</w:t>
      </w:r>
      <w:r w:rsidRPr="00E53E52">
        <w:rPr>
          <w:rStyle w:val="Hyperlink"/>
          <w:rFonts w:eastAsiaTheme="minorHAnsi"/>
          <w:sz w:val="22"/>
          <w:szCs w:val="22"/>
        </w:rPr>
        <w:t xml:space="preserve">, N.Y. Times (Nov. 30, 2018); Miriam Jordan, Kirk Semple &amp; Caitlin Dickerson, </w:t>
      </w:r>
      <w:r w:rsidRPr="00E53E52">
        <w:rPr>
          <w:rStyle w:val="Hyperlink"/>
          <w:rFonts w:eastAsiaTheme="minorHAnsi"/>
          <w:i/>
          <w:iCs/>
          <w:sz w:val="22"/>
          <w:szCs w:val="22"/>
        </w:rPr>
        <w:t>For Migrants on Both Sides of the Border, the One Constant Is a Long Wait</w:t>
      </w:r>
      <w:r w:rsidRPr="00E53E52">
        <w:rPr>
          <w:rStyle w:val="Hyperlink"/>
          <w:rFonts w:eastAsiaTheme="minorHAnsi"/>
          <w:sz w:val="22"/>
          <w:szCs w:val="22"/>
        </w:rPr>
        <w:t xml:space="preserve">, N.Y. Times (Nov. 27, 2018); Dara Lind, </w:t>
      </w:r>
      <w:r w:rsidRPr="00E53E52">
        <w:rPr>
          <w:rStyle w:val="Hyperlink"/>
          <w:rFonts w:eastAsiaTheme="minorHAnsi"/>
          <w:i/>
          <w:iCs/>
          <w:sz w:val="22"/>
          <w:szCs w:val="22"/>
        </w:rPr>
        <w:t xml:space="preserve">The US Has Made Migrants at the Border Wait Months to Apply for </w:t>
      </w:r>
      <w:r w:rsidRPr="00E53E52">
        <w:rPr>
          <w:rStyle w:val="Hyperlink"/>
          <w:rFonts w:eastAsiaTheme="minorHAnsi"/>
          <w:i/>
          <w:iCs/>
          <w:sz w:val="22"/>
          <w:szCs w:val="22"/>
        </w:rPr>
        <w:lastRenderedPageBreak/>
        <w:t>Asylum. Now the Dam is Breaking</w:t>
      </w:r>
      <w:r w:rsidRPr="00E53E52">
        <w:rPr>
          <w:rStyle w:val="Hyperlink"/>
          <w:rFonts w:eastAsiaTheme="minorHAnsi"/>
          <w:sz w:val="22"/>
          <w:szCs w:val="22"/>
        </w:rPr>
        <w:t xml:space="preserve">, </w:t>
      </w:r>
      <w:r w:rsidRPr="00E53E52">
        <w:rPr>
          <w:rStyle w:val="Hyperlink"/>
          <w:rFonts w:eastAsiaTheme="minorHAnsi"/>
          <w:i/>
          <w:iCs/>
          <w:sz w:val="22"/>
          <w:szCs w:val="22"/>
        </w:rPr>
        <w:t>Vox</w:t>
      </w:r>
      <w:r w:rsidRPr="00E53E52">
        <w:rPr>
          <w:rStyle w:val="Hyperlink"/>
          <w:rFonts w:eastAsiaTheme="minorHAnsi"/>
          <w:sz w:val="22"/>
          <w:szCs w:val="22"/>
        </w:rPr>
        <w:t xml:space="preserve"> (Nov. 28, 2018). A court challenge to “metering” is pending in the federal district court for the Southern District of California, </w:t>
      </w:r>
      <w:r w:rsidRPr="00E53E52">
        <w:rPr>
          <w:rStyle w:val="Hyperlink"/>
          <w:rFonts w:eastAsiaTheme="minorHAnsi"/>
          <w:i/>
          <w:iCs/>
          <w:sz w:val="22"/>
          <w:szCs w:val="22"/>
        </w:rPr>
        <w:t>see</w:t>
      </w:r>
      <w:r w:rsidRPr="00E53E52">
        <w:rPr>
          <w:rStyle w:val="Hyperlink"/>
          <w:rFonts w:eastAsiaTheme="minorHAnsi"/>
          <w:sz w:val="22"/>
          <w:szCs w:val="22"/>
        </w:rPr>
        <w:t xml:space="preserve"> </w:t>
      </w:r>
      <w:r w:rsidRPr="00E53E52">
        <w:rPr>
          <w:rStyle w:val="Hyperlink"/>
          <w:rFonts w:eastAsiaTheme="minorHAnsi"/>
          <w:i/>
          <w:iCs/>
          <w:sz w:val="22"/>
          <w:szCs w:val="22"/>
        </w:rPr>
        <w:t>Al Otro Lado v. McAleenan</w:t>
      </w:r>
      <w:r w:rsidRPr="00E53E52">
        <w:rPr>
          <w:rStyle w:val="Hyperlink"/>
          <w:rFonts w:eastAsiaTheme="minorHAnsi"/>
          <w:sz w:val="22"/>
          <w:szCs w:val="22"/>
        </w:rPr>
        <w:t>, 2019 WL 3413406 (July 29, 2019).</w:t>
      </w:r>
    </w:p>
    <w:p w14:paraId="56E1E30B" w14:textId="50941E31" w:rsidR="007577AB" w:rsidRPr="00E53E52" w:rsidRDefault="007577AB" w:rsidP="007577AB">
      <w:pPr>
        <w:autoSpaceDE w:val="0"/>
        <w:autoSpaceDN w:val="0"/>
        <w:adjustRightInd w:val="0"/>
        <w:spacing w:after="120"/>
        <w:ind w:firstLine="720"/>
        <w:jc w:val="both"/>
        <w:rPr>
          <w:rFonts w:ascii="Century Schoolbook" w:hAnsi="Century Schoolbook"/>
        </w:rPr>
      </w:pPr>
      <w:r w:rsidRPr="00E53E52">
        <w:rPr>
          <w:rFonts w:ascii="Century Schoolbook" w:hAnsi="Century Schoolbook"/>
          <w:i/>
        </w:rPr>
        <w:t>Migra</w:t>
      </w:r>
      <w:r w:rsidR="009532A7" w:rsidRPr="00E53E52">
        <w:rPr>
          <w:rFonts w:ascii="Century Schoolbook" w:hAnsi="Century Schoolbook"/>
          <w:i/>
        </w:rPr>
        <w:t>n</w:t>
      </w:r>
      <w:r w:rsidRPr="00E53E52">
        <w:rPr>
          <w:rFonts w:ascii="Century Schoolbook" w:hAnsi="Century Schoolbook"/>
          <w:i/>
        </w:rPr>
        <w:t xml:space="preserve">t Protection Protocols (Remain in Mexico Policy). </w:t>
      </w:r>
      <w:r w:rsidRPr="00E53E52">
        <w:rPr>
          <w:rFonts w:ascii="Century Schoolbook" w:hAnsi="Century Schoolbook"/>
        </w:rPr>
        <w:t>In December 2018, DHS implemented the Migra</w:t>
      </w:r>
      <w:r w:rsidR="009532A7" w:rsidRPr="00E53E52">
        <w:rPr>
          <w:rFonts w:ascii="Century Schoolbook" w:hAnsi="Century Schoolbook"/>
        </w:rPr>
        <w:t>n</w:t>
      </w:r>
      <w:r w:rsidRPr="00E53E52">
        <w:rPr>
          <w:rFonts w:ascii="Century Schoolbook" w:hAnsi="Century Schoolbook"/>
        </w:rPr>
        <w:t xml:space="preserve">t Protection Protocols (MPP), popularly known as the Remain in Mexico policy. Reflecting the administration’s perception that many asylum seekers make groundless claims and then abscond into the United States while their cases are pending, the MPP policy allows immigration officers to return certain asylum seekers to Mexico to await the resolution of their proceedings. DHS, </w:t>
      </w:r>
      <w:r w:rsidRPr="00E53E52">
        <w:rPr>
          <w:rFonts w:ascii="Century Schoolbook" w:hAnsi="Century Schoolbook"/>
          <w:i/>
        </w:rPr>
        <w:t>Announcement of Migration Protection Protocols</w:t>
      </w:r>
      <w:r w:rsidRPr="00E53E52">
        <w:rPr>
          <w:rFonts w:ascii="Century Schoolbook" w:hAnsi="Century Schoolbook"/>
        </w:rPr>
        <w:t xml:space="preserve">, Dec. 20, 2018, </w:t>
      </w:r>
      <w:hyperlink r:id="rId17" w:history="1">
        <w:r w:rsidRPr="00E53E52">
          <w:rPr>
            <w:rFonts w:ascii="Century Schoolbook" w:hAnsi="Century Schoolbook"/>
          </w:rPr>
          <w:t>https://www.dhs.gov/news/2018/12/20/secretary-nielsen-announces-historic-action-confront-illegal-immigration</w:t>
        </w:r>
      </w:hyperlink>
      <w:r w:rsidRPr="00E53E52">
        <w:rPr>
          <w:rFonts w:ascii="Century Schoolbook" w:hAnsi="Century Schoolbook"/>
        </w:rPr>
        <w:t xml:space="preserve">. </w:t>
      </w:r>
    </w:p>
    <w:p w14:paraId="32D00632" w14:textId="02EC33A8" w:rsidR="007577AB" w:rsidRPr="00E53E52" w:rsidRDefault="007577AB" w:rsidP="007577AB">
      <w:pPr>
        <w:autoSpaceDE w:val="0"/>
        <w:autoSpaceDN w:val="0"/>
        <w:adjustRightInd w:val="0"/>
        <w:spacing w:after="120"/>
        <w:ind w:firstLine="720"/>
        <w:jc w:val="both"/>
        <w:rPr>
          <w:rFonts w:ascii="Century Schoolbook" w:hAnsi="Century Schoolbook"/>
        </w:rPr>
      </w:pPr>
      <w:r w:rsidRPr="00E53E52">
        <w:rPr>
          <w:rFonts w:ascii="Century Schoolbook" w:hAnsi="Century Schoolbook"/>
        </w:rPr>
        <w:t xml:space="preserve">As authority for the MPP, the administration cites INA § 235(b)(2)(C), which gives immigration officials discretion to return individuals arriving by land from a contiguous foreign country to the territory from which they arrived pending their removal proceedings. The MPP was first instituted at the San Ysidro, California port of entry, which covers migration from the Tijuana, Mexico area, but has since been expanded to other sites along the border. A federal court preliminarily enjoined the MPP as a violation of the Administrative Procedure Act, </w:t>
      </w:r>
      <w:r w:rsidRPr="00E53E52">
        <w:rPr>
          <w:rFonts w:ascii="Century Schoolbook" w:hAnsi="Century Schoolbook"/>
          <w:i/>
        </w:rPr>
        <w:t>Innovation Law Lab v. Nielsen</w:t>
      </w:r>
      <w:r w:rsidRPr="00E53E52">
        <w:rPr>
          <w:rFonts w:ascii="Century Schoolbook" w:hAnsi="Century Schoolbook"/>
        </w:rPr>
        <w:t xml:space="preserve">, 366 F. Supp. 3d 1110 (N.D. Cal. 2019), but the Ninth Circuit Court of Appeals, in a per curiam opinion, stayed the injunction pending appeal. </w:t>
      </w:r>
      <w:r w:rsidRPr="00E53E52">
        <w:rPr>
          <w:rFonts w:ascii="Century Schoolbook" w:hAnsi="Century Schoolbook"/>
          <w:i/>
        </w:rPr>
        <w:t>Innovation Law Lab v. McAleenan</w:t>
      </w:r>
      <w:r w:rsidRPr="00E53E52">
        <w:rPr>
          <w:rFonts w:ascii="Century Schoolbook" w:hAnsi="Century Schoolbook"/>
        </w:rPr>
        <w:t xml:space="preserve">, 924 F.3d 503 (9th Cir. 2019). Notably, Judge William Fletcher concurred only in </w:t>
      </w:r>
      <w:r w:rsidR="00A47781" w:rsidRPr="00E53E52">
        <w:rPr>
          <w:rFonts w:ascii="Century Schoolbook" w:hAnsi="Century Schoolbook"/>
        </w:rPr>
        <w:t xml:space="preserve">the </w:t>
      </w:r>
      <w:r w:rsidRPr="00E53E52">
        <w:rPr>
          <w:rFonts w:ascii="Century Schoolbook" w:hAnsi="Century Schoolbook"/>
        </w:rPr>
        <w:t xml:space="preserve">result and forcefully criticized the per curiam reasoning and the government’s argument, flatly stating, “The Government is wrong. Not just arguably wrong, but clearly and flagrantly wrong. [INA § 235(b)(2)(C)] does not provide authority for the MPP.” </w:t>
      </w:r>
      <w:r w:rsidRPr="00E53E52">
        <w:rPr>
          <w:rFonts w:ascii="Century Schoolbook" w:hAnsi="Century Schoolbook"/>
          <w:i/>
          <w:iCs/>
        </w:rPr>
        <w:t>Id.</w:t>
      </w:r>
      <w:r w:rsidRPr="00E53E52">
        <w:rPr>
          <w:rFonts w:ascii="Century Schoolbook" w:hAnsi="Century Schoolbook"/>
        </w:rPr>
        <w:t xml:space="preserve"> (Fletcher, J. concurring only in result).</w:t>
      </w:r>
    </w:p>
    <w:p w14:paraId="718A86E6" w14:textId="77777777" w:rsidR="007577AB" w:rsidRPr="00E53E52" w:rsidRDefault="007577AB" w:rsidP="007577AB">
      <w:pPr>
        <w:autoSpaceDE w:val="0"/>
        <w:autoSpaceDN w:val="0"/>
        <w:adjustRightInd w:val="0"/>
        <w:spacing w:after="120"/>
        <w:ind w:firstLine="720"/>
        <w:jc w:val="both"/>
        <w:rPr>
          <w:rFonts w:ascii="Century Schoolbook" w:hAnsi="Century Schoolbook"/>
        </w:rPr>
      </w:pPr>
      <w:r w:rsidRPr="00E53E52">
        <w:rPr>
          <w:rFonts w:ascii="Century Schoolbook" w:hAnsi="Century Schoolbook"/>
          <w:i/>
        </w:rPr>
        <w:t xml:space="preserve">Third-Country Asylum Provisions. </w:t>
      </w:r>
      <w:r w:rsidRPr="00E53E52">
        <w:rPr>
          <w:rFonts w:ascii="Century Schoolbook" w:hAnsi="Century Schoolbook"/>
        </w:rPr>
        <w:t xml:space="preserve">On July 16, 2019, the Administration announced an interim final rule that would bar individuals from seeking asylum as they arrive at the southern border of the United States if they did not seek such protection from another country on their way to the United States. </w:t>
      </w:r>
      <w:r w:rsidRPr="00E53E52">
        <w:rPr>
          <w:rFonts w:ascii="Century Schoolbook" w:hAnsi="Century Schoolbook"/>
          <w:i/>
          <w:iCs/>
        </w:rPr>
        <w:t>See</w:t>
      </w:r>
      <w:r w:rsidRPr="00E53E52">
        <w:rPr>
          <w:rFonts w:ascii="Century Schoolbook" w:hAnsi="Century Schoolbook"/>
        </w:rPr>
        <w:t xml:space="preserve"> 84 Fed. Reg. 33,829 (2019). The rule would especially affect asylum seekers from the so-called “Northern Triangle” countries of Guatemala, El Salvador, and Honduras, forcing migrants from El Salvador or Honduras to apply for asylum in Guatemala or Mexico, or migrants from Guatemala to apply in Mexico. As authority for the rule, the administration cited INA §§ 208(b)(2)(C) and (d)(5)(B), which provide general authority for conditions and limitations on asylum eligibility. Such individuals would still be able to seek withholding of removal and relief under the Convention Against Torture upon arrival in the United States.</w:t>
      </w:r>
    </w:p>
    <w:p w14:paraId="6A66247B" w14:textId="77777777" w:rsidR="007577AB" w:rsidRPr="00E53E52" w:rsidRDefault="007577AB" w:rsidP="007577AB">
      <w:pPr>
        <w:autoSpaceDE w:val="0"/>
        <w:autoSpaceDN w:val="0"/>
        <w:adjustRightInd w:val="0"/>
        <w:spacing w:after="120"/>
        <w:ind w:firstLine="720"/>
        <w:jc w:val="both"/>
        <w:rPr>
          <w:rFonts w:ascii="Century Schoolbook" w:hAnsi="Century Schoolbook"/>
        </w:rPr>
      </w:pPr>
      <w:r w:rsidRPr="00E53E52">
        <w:rPr>
          <w:rFonts w:ascii="Century Schoolbook" w:hAnsi="Century Schoolbook"/>
        </w:rPr>
        <w:t xml:space="preserve">Two separate lawsuits immediately challenged this interim final rule, alleging that the rule violates the INA’s provisions on asylum eligibility, the Administrative Procedure Act, and the Trafficking Victims Protection Reauthorization Act. On the statutory claim, the challengers argue that the INA only authorizes denial of asylum based on passing through a third country in transit in limited and narrow circumstances: if the individual firmly settled in a third country, or the United States has a “safe third country” agreement in place with </w:t>
      </w:r>
      <w:r w:rsidRPr="00E53E52">
        <w:rPr>
          <w:rFonts w:ascii="Century Schoolbook" w:hAnsi="Century Schoolbook"/>
        </w:rPr>
        <w:lastRenderedPageBreak/>
        <w:t xml:space="preserve">that country. </w:t>
      </w:r>
      <w:r w:rsidRPr="00E53E52">
        <w:rPr>
          <w:rFonts w:ascii="Century Schoolbook" w:hAnsi="Century Schoolbook"/>
          <w:i/>
          <w:iCs/>
        </w:rPr>
        <w:t>See</w:t>
      </w:r>
      <w:r w:rsidRPr="00E53E52">
        <w:rPr>
          <w:rFonts w:ascii="Century Schoolbook" w:hAnsi="Century Schoolbook"/>
        </w:rPr>
        <w:t xml:space="preserve"> INA §§ 208(a)(2)(A) and (b)(2)(A)(vi). Currently, the United States does not have a bilateral or multilateral agreement with Mexico or any Central American countries, as required to satisfy the second of these exceptions. The U.S. currently has only one such bilateral agreement in place, with Canada. </w:t>
      </w:r>
      <w:r w:rsidRPr="00E53E52">
        <w:rPr>
          <w:rFonts w:ascii="Century Schoolbook" w:hAnsi="Century Schoolbook"/>
          <w:i/>
        </w:rPr>
        <w:t>See</w:t>
      </w:r>
      <w:r w:rsidRPr="00E53E52">
        <w:rPr>
          <w:rFonts w:ascii="Century Schoolbook" w:hAnsi="Century Schoolbook"/>
        </w:rPr>
        <w:t xml:space="preserve"> Agreement between the Government of Canada and the Government of the United States for Cooperation in the Examination of Refugee Status Claim from Nationals of Third Countries (Dec. 5, 2002), </w:t>
      </w:r>
      <w:hyperlink r:id="rId18" w:history="1">
        <w:r w:rsidRPr="00E53E52">
          <w:rPr>
            <w:rStyle w:val="Hyperlink"/>
            <w:rFonts w:eastAsiaTheme="minorHAnsi" w:cstheme="minorBidi"/>
            <w:sz w:val="22"/>
            <w:szCs w:val="22"/>
          </w:rPr>
          <w:t>https://2009-2017.state.gov/s/l/38616.htm</w:t>
        </w:r>
      </w:hyperlink>
      <w:r w:rsidRPr="00E53E52">
        <w:rPr>
          <w:rFonts w:ascii="Century Schoolbook" w:hAnsi="Century Schoolbook"/>
        </w:rPr>
        <w:t xml:space="preserve">. </w:t>
      </w:r>
    </w:p>
    <w:p w14:paraId="6B92777F" w14:textId="70D3E484" w:rsidR="007577AB" w:rsidRPr="00E53E52" w:rsidRDefault="007577AB" w:rsidP="007577AB">
      <w:pPr>
        <w:autoSpaceDE w:val="0"/>
        <w:autoSpaceDN w:val="0"/>
        <w:adjustRightInd w:val="0"/>
        <w:spacing w:after="120"/>
        <w:ind w:firstLine="720"/>
        <w:jc w:val="both"/>
        <w:rPr>
          <w:rFonts w:ascii="Century Schoolbook" w:hAnsi="Century Schoolbook"/>
        </w:rPr>
      </w:pPr>
      <w:r w:rsidRPr="00E53E52">
        <w:rPr>
          <w:rFonts w:ascii="Century Schoolbook" w:hAnsi="Century Schoolbook"/>
        </w:rPr>
        <w:t xml:space="preserve">On July 24, 2019, the district courts hearing these challenges issued preliminary rulings. The district court for the District of Columbia declined to enjoin it, but hours later the district court for the Northern District of California issued a nationwide preliminary injunction blocking the rule. </w:t>
      </w:r>
      <w:r w:rsidRPr="00E53E52">
        <w:rPr>
          <w:rFonts w:ascii="Century Schoolbook" w:hAnsi="Century Schoolbook"/>
          <w:i/>
        </w:rPr>
        <w:t>See East Bay</w:t>
      </w:r>
      <w:r w:rsidRPr="00E53E52">
        <w:rPr>
          <w:rFonts w:ascii="Century Schoolbook" w:hAnsi="Century Schoolbook"/>
        </w:rPr>
        <w:t xml:space="preserve"> </w:t>
      </w:r>
      <w:r w:rsidRPr="00E53E52">
        <w:rPr>
          <w:rFonts w:ascii="Century Schoolbook" w:hAnsi="Century Schoolbook"/>
          <w:i/>
        </w:rPr>
        <w:t>Sanctuary Covenant, et al., v. Barr</w:t>
      </w:r>
      <w:r w:rsidRPr="00E53E52">
        <w:rPr>
          <w:rFonts w:ascii="Century Schoolbook" w:hAnsi="Century Schoolbook"/>
        </w:rPr>
        <w:t xml:space="preserve">, No. 3:19-CV-04073 (N.D. Cal July 24, 2019) and </w:t>
      </w:r>
      <w:r w:rsidRPr="00E53E52">
        <w:rPr>
          <w:rFonts w:ascii="Century Schoolbook" w:hAnsi="Century Schoolbook"/>
          <w:i/>
        </w:rPr>
        <w:t>Capital Area Immigrants’ Rights Coalition, et al., v. Trump</w:t>
      </w:r>
      <w:r w:rsidRPr="00E53E52">
        <w:rPr>
          <w:rFonts w:ascii="Century Schoolbook" w:hAnsi="Century Schoolbook"/>
        </w:rPr>
        <w:t xml:space="preserve">, No. 1:19-CV-02117 (D.D.C. July 24, 2019). </w:t>
      </w:r>
    </w:p>
    <w:p w14:paraId="6CFF23CB" w14:textId="0BF28A40" w:rsidR="007577AB" w:rsidRPr="00E53E52" w:rsidRDefault="007577AB" w:rsidP="007577AB">
      <w:pPr>
        <w:autoSpaceDE w:val="0"/>
        <w:autoSpaceDN w:val="0"/>
        <w:adjustRightInd w:val="0"/>
        <w:spacing w:after="120"/>
        <w:ind w:firstLine="720"/>
        <w:jc w:val="both"/>
        <w:rPr>
          <w:rFonts w:ascii="Century Schoolbook" w:hAnsi="Century Schoolbook"/>
        </w:rPr>
      </w:pPr>
      <w:r w:rsidRPr="00E53E52">
        <w:rPr>
          <w:rFonts w:ascii="Century Schoolbook" w:hAnsi="Century Schoolbook"/>
        </w:rPr>
        <w:t>Then, on July 26, 2019, the administration announced an agreement with Guatemala that Acting DHS Secretary Kevin McAleenan called a “safe third country” agreement. However, the Guatemalan government appeared to reject that characterization. One reason may be that Guatemala’s constitutional court ruled in early July that Guatemala cannot enter into any such agreement without legislative approval. Moreover, as of early August 2019, significant uncertainty remains about the agreement’s terms or intended effect. No U.S. government agency has released an official copy of the text. Unofficial texts suggest that the agreement is not a traditional safe</w:t>
      </w:r>
      <w:r w:rsidR="00E81F48" w:rsidRPr="00E53E52">
        <w:rPr>
          <w:rFonts w:ascii="Century Schoolbook" w:hAnsi="Century Schoolbook"/>
        </w:rPr>
        <w:t xml:space="preserve"> </w:t>
      </w:r>
      <w:r w:rsidRPr="00E53E52">
        <w:rPr>
          <w:rFonts w:ascii="Century Schoolbook" w:hAnsi="Century Schoolbook"/>
        </w:rPr>
        <w:t xml:space="preserve">third country agreement that would require any migrants who travel through Guatemala to apply for asylum there, rather </w:t>
      </w:r>
      <w:r w:rsidR="00E81F48" w:rsidRPr="00E53E52">
        <w:rPr>
          <w:rFonts w:ascii="Century Schoolbook" w:hAnsi="Century Schoolbook"/>
        </w:rPr>
        <w:t xml:space="preserve">than </w:t>
      </w:r>
      <w:r w:rsidRPr="00E53E52">
        <w:rPr>
          <w:rFonts w:ascii="Century Schoolbook" w:hAnsi="Century Schoolbook"/>
        </w:rPr>
        <w:t xml:space="preserve">come to the United States to apply. Instead, the agreement appears to apply to anyone who applies for asylum at the U.S. border whether or not that asylum seeker has traveled through Guatemala. The agreement also appears to allow the U.S. government to “transfer” asylum seekers to Guatemala, which would decide their asylum claims. </w:t>
      </w:r>
      <w:r w:rsidRPr="00E53E52">
        <w:rPr>
          <w:rFonts w:ascii="Century Schoolbook" w:hAnsi="Century Schoolbook"/>
          <w:i/>
          <w:iCs/>
        </w:rPr>
        <w:t>See</w:t>
      </w:r>
      <w:r w:rsidRPr="00E53E52">
        <w:rPr>
          <w:rFonts w:ascii="Century Schoolbook" w:hAnsi="Century Schoolbook"/>
        </w:rPr>
        <w:t xml:space="preserve"> Susan Gzesh, </w:t>
      </w:r>
      <w:r w:rsidRPr="00E53E52">
        <w:rPr>
          <w:rFonts w:ascii="Century Schoolbook" w:hAnsi="Century Schoolbook"/>
          <w:i/>
          <w:iCs/>
        </w:rPr>
        <w:t>Questions Surround Secretive US-Guatemala Agreement</w:t>
      </w:r>
      <w:r w:rsidRPr="00E53E52">
        <w:rPr>
          <w:rFonts w:ascii="Century Schoolbook" w:hAnsi="Century Schoolbook"/>
        </w:rPr>
        <w:t>, Just Security, July 30, 2019;</w:t>
      </w:r>
      <w:r w:rsidRPr="00E53E52">
        <w:rPr>
          <w:rFonts w:ascii="Garamond" w:hAnsi="Garamond"/>
        </w:rPr>
        <w:t xml:space="preserve"> </w:t>
      </w:r>
      <w:r w:rsidRPr="00E53E52">
        <w:rPr>
          <w:rFonts w:ascii="Century Schoolbook" w:hAnsi="Century Schoolbook"/>
        </w:rPr>
        <w:t xml:space="preserve">Michael D. Shear, Zolan Kanno-Youngs &amp; Elisabeth Malkin, </w:t>
      </w:r>
      <w:r w:rsidRPr="00E53E52">
        <w:rPr>
          <w:rFonts w:ascii="Century Schoolbook" w:hAnsi="Century Schoolbook"/>
          <w:i/>
          <w:iCs/>
        </w:rPr>
        <w:t>After Tariff Threat, Trump Says Guatemala Has Agreed to New Asylum Rules</w:t>
      </w:r>
      <w:r w:rsidRPr="00E53E52">
        <w:rPr>
          <w:rFonts w:ascii="Century Schoolbook" w:hAnsi="Century Schoolbook"/>
        </w:rPr>
        <w:t xml:space="preserve">, N.Y. Times, July 26, 2019; Adolfo Flores &amp; Hamed Aleaziz, </w:t>
      </w:r>
      <w:r w:rsidRPr="00E53E52">
        <w:rPr>
          <w:rFonts w:ascii="Century Schoolbook" w:hAnsi="Century Schoolbook"/>
          <w:i/>
          <w:iCs/>
        </w:rPr>
        <w:t>Trump Says the US and Guatemala Have Signed a “Safe Third Country” Agreement to Restrict Asylum Seekers</w:t>
      </w:r>
      <w:r w:rsidRPr="00E53E52">
        <w:rPr>
          <w:rFonts w:ascii="Century Schoolbook" w:hAnsi="Century Schoolbook"/>
        </w:rPr>
        <w:t>, BuzzFeed News, July 26, 2019.</w:t>
      </w:r>
    </w:p>
    <w:p w14:paraId="5116E927" w14:textId="77777777" w:rsidR="00732527" w:rsidRPr="00E53E52" w:rsidRDefault="00732527" w:rsidP="001D1D6E">
      <w:pPr>
        <w:spacing w:after="120"/>
        <w:rPr>
          <w:rFonts w:ascii="Century Schoolbook" w:hAnsi="Century Schoolbook"/>
          <w:b/>
        </w:rPr>
      </w:pPr>
      <w:r w:rsidRPr="00E53E52">
        <w:rPr>
          <w:rFonts w:ascii="Century Schoolbook" w:hAnsi="Century Schoolbook"/>
          <w:b/>
        </w:rPr>
        <w:t>p. 111, after first full paragraph, add:</w:t>
      </w:r>
    </w:p>
    <w:p w14:paraId="76FB68E9" w14:textId="37512DBD" w:rsidR="00732527" w:rsidRPr="00E53E52" w:rsidRDefault="00732527" w:rsidP="0036367F">
      <w:pPr>
        <w:spacing w:after="120"/>
        <w:ind w:firstLine="720"/>
        <w:jc w:val="both"/>
        <w:rPr>
          <w:rFonts w:ascii="Century Schoolbook" w:hAnsi="Century Schoolbook"/>
        </w:rPr>
      </w:pPr>
      <w:r w:rsidRPr="00E53E52">
        <w:rPr>
          <w:rFonts w:ascii="Century Schoolbook" w:hAnsi="Century Schoolbook"/>
        </w:rPr>
        <w:t xml:space="preserve">In 2014, the Supreme Court again considered a </w:t>
      </w:r>
      <w:r w:rsidRPr="00E53E52">
        <w:rPr>
          <w:rFonts w:ascii="Century Schoolbook" w:hAnsi="Century Schoolbook"/>
          <w:i/>
        </w:rPr>
        <w:t xml:space="preserve">Chevron </w:t>
      </w:r>
      <w:r w:rsidRPr="00E53E52">
        <w:rPr>
          <w:rFonts w:ascii="Century Schoolbook" w:hAnsi="Century Schoolbook"/>
        </w:rPr>
        <w:t xml:space="preserve">challenge in an immigration case, this time </w:t>
      </w:r>
      <w:r w:rsidR="00251145" w:rsidRPr="00E53E52">
        <w:rPr>
          <w:rFonts w:ascii="Century Schoolbook" w:hAnsi="Century Schoolbook"/>
        </w:rPr>
        <w:t xml:space="preserve">concerning </w:t>
      </w:r>
      <w:r w:rsidRPr="00E53E52">
        <w:rPr>
          <w:rFonts w:ascii="Century Schoolbook" w:hAnsi="Century Schoolbook"/>
        </w:rPr>
        <w:t xml:space="preserve">when </w:t>
      </w:r>
      <w:r w:rsidR="00251145" w:rsidRPr="00E53E52">
        <w:rPr>
          <w:rFonts w:ascii="Century Schoolbook" w:hAnsi="Century Schoolbook"/>
        </w:rPr>
        <w:t>the offspring</w:t>
      </w:r>
      <w:r w:rsidRPr="00E53E52">
        <w:rPr>
          <w:rFonts w:ascii="Century Schoolbook" w:hAnsi="Century Schoolbook"/>
        </w:rPr>
        <w:t xml:space="preserve"> of intending immigrants </w:t>
      </w:r>
      <w:r w:rsidR="00C909C4" w:rsidRPr="00E53E52">
        <w:rPr>
          <w:rFonts w:ascii="Century Schoolbook" w:hAnsi="Century Schoolbook"/>
        </w:rPr>
        <w:t>“</w:t>
      </w:r>
      <w:r w:rsidRPr="00E53E52">
        <w:rPr>
          <w:rFonts w:ascii="Century Schoolbook" w:hAnsi="Century Schoolbook"/>
        </w:rPr>
        <w:t>age out</w:t>
      </w:r>
      <w:r w:rsidR="00C909C4" w:rsidRPr="00E53E52">
        <w:rPr>
          <w:rFonts w:ascii="Century Schoolbook" w:hAnsi="Century Schoolbook"/>
        </w:rPr>
        <w:t>”</w:t>
      </w:r>
      <w:r w:rsidRPr="00E53E52">
        <w:rPr>
          <w:rFonts w:ascii="Century Schoolbook" w:hAnsi="Century Schoolbook"/>
        </w:rPr>
        <w:t xml:space="preserve"> of their status as </w:t>
      </w:r>
      <w:r w:rsidR="00251145" w:rsidRPr="00E53E52">
        <w:rPr>
          <w:rFonts w:ascii="Century Schoolbook" w:hAnsi="Century Schoolbook"/>
        </w:rPr>
        <w:t>children and thus are no longer able to immigrate as part of their parents</w:t>
      </w:r>
      <w:r w:rsidR="00C909C4" w:rsidRPr="00E53E52">
        <w:rPr>
          <w:rFonts w:ascii="Century Schoolbook" w:hAnsi="Century Schoolbook"/>
        </w:rPr>
        <w:t>’</w:t>
      </w:r>
      <w:r w:rsidR="00251145" w:rsidRPr="00E53E52">
        <w:rPr>
          <w:rFonts w:ascii="Century Schoolbook" w:hAnsi="Century Schoolbook"/>
        </w:rPr>
        <w:t xml:space="preserve"> approved visa</w:t>
      </w:r>
      <w:r w:rsidR="00027B0C" w:rsidRPr="00E53E52">
        <w:rPr>
          <w:rFonts w:ascii="Century Schoolbook" w:hAnsi="Century Schoolbook"/>
        </w:rPr>
        <w:t xml:space="preserve">. </w:t>
      </w:r>
      <w:r w:rsidR="00251145" w:rsidRPr="00E53E52">
        <w:rPr>
          <w:rFonts w:ascii="Century Schoolbook" w:hAnsi="Century Schoolbook"/>
        </w:rPr>
        <w:t>Courts disagreed as to whether the BIA</w:t>
      </w:r>
      <w:r w:rsidR="00C909C4" w:rsidRPr="00E53E52">
        <w:rPr>
          <w:rFonts w:ascii="Century Schoolbook" w:hAnsi="Century Schoolbook"/>
        </w:rPr>
        <w:t>’</w:t>
      </w:r>
      <w:r w:rsidR="00251145" w:rsidRPr="00E53E52">
        <w:rPr>
          <w:rFonts w:ascii="Century Schoolbook" w:hAnsi="Century Schoolbook"/>
        </w:rPr>
        <w:t xml:space="preserve">s </w:t>
      </w:r>
      <w:r w:rsidRPr="00E53E52">
        <w:rPr>
          <w:rFonts w:ascii="Century Schoolbook" w:hAnsi="Century Schoolbook"/>
        </w:rPr>
        <w:t xml:space="preserve">ruling </w:t>
      </w:r>
      <w:r w:rsidR="00251145" w:rsidRPr="00E53E52">
        <w:rPr>
          <w:rFonts w:ascii="Century Schoolbook" w:hAnsi="Century Schoolbook"/>
        </w:rPr>
        <w:t>was</w:t>
      </w:r>
      <w:r w:rsidRPr="00E53E52">
        <w:rPr>
          <w:rFonts w:ascii="Century Schoolbook" w:hAnsi="Century Schoolbook"/>
        </w:rPr>
        <w:t xml:space="preserve"> inconsistent with the plain language of the statute</w:t>
      </w:r>
      <w:r w:rsidR="00027B0C" w:rsidRPr="00E53E52">
        <w:rPr>
          <w:rFonts w:ascii="Century Schoolbook" w:hAnsi="Century Schoolbook"/>
        </w:rPr>
        <w:t xml:space="preserve">. </w:t>
      </w:r>
      <w:r w:rsidRPr="00E53E52">
        <w:rPr>
          <w:rFonts w:ascii="Century Schoolbook" w:hAnsi="Century Schoolbook"/>
        </w:rPr>
        <w:t>The Supreme Court granted certiorari to resolve the circuit conflict, and ultimately ruled 5-4 in favor of the BIA</w:t>
      </w:r>
      <w:r w:rsidR="00C909C4" w:rsidRPr="00E53E52">
        <w:rPr>
          <w:rFonts w:ascii="Century Schoolbook" w:hAnsi="Century Schoolbook"/>
        </w:rPr>
        <w:t>’</w:t>
      </w:r>
      <w:r w:rsidRPr="00E53E52">
        <w:rPr>
          <w:rFonts w:ascii="Century Schoolbook" w:hAnsi="Century Schoolbook"/>
        </w:rPr>
        <w:t xml:space="preserve">s interpretation of INA </w:t>
      </w:r>
      <w:r w:rsidR="008C132A" w:rsidRPr="00E53E52">
        <w:rPr>
          <w:rFonts w:ascii="Century Schoolbook" w:hAnsi="Century Schoolbook"/>
        </w:rPr>
        <w:t>§ </w:t>
      </w:r>
      <w:r w:rsidRPr="00E53E52">
        <w:rPr>
          <w:rFonts w:ascii="Century Schoolbook" w:hAnsi="Century Schoolbook"/>
        </w:rPr>
        <w:t>203(h)(3)</w:t>
      </w:r>
      <w:r w:rsidR="00027B0C" w:rsidRPr="00E53E52">
        <w:rPr>
          <w:rFonts w:ascii="Century Schoolbook" w:hAnsi="Century Schoolbook"/>
        </w:rPr>
        <w:t xml:space="preserve">. </w:t>
      </w:r>
      <w:r w:rsidRPr="00E53E52">
        <w:rPr>
          <w:rFonts w:ascii="Century Schoolbook" w:hAnsi="Century Schoolbook"/>
          <w:i/>
        </w:rPr>
        <w:t>Scialabba v. Cuellar de Osorio</w:t>
      </w:r>
      <w:r w:rsidRPr="00E53E52">
        <w:rPr>
          <w:rFonts w:ascii="Century Schoolbook" w:hAnsi="Century Schoolbook"/>
        </w:rPr>
        <w:t>, 573 U.S. ___,</w:t>
      </w:r>
      <w:r w:rsidRPr="00E53E52">
        <w:rPr>
          <w:rFonts w:ascii="Century Schoolbook" w:hAnsi="Century Schoolbook"/>
          <w:i/>
        </w:rPr>
        <w:t xml:space="preserve"> </w:t>
      </w:r>
      <w:r w:rsidRPr="00E53E52">
        <w:rPr>
          <w:rFonts w:ascii="Century Schoolbook" w:hAnsi="Century Schoolbook"/>
        </w:rPr>
        <w:t>134 S.Ct. 2191 (2014)</w:t>
      </w:r>
      <w:r w:rsidR="00027B0C" w:rsidRPr="00E53E52">
        <w:rPr>
          <w:rFonts w:ascii="Century Schoolbook" w:hAnsi="Century Schoolbook"/>
        </w:rPr>
        <w:t xml:space="preserve">. </w:t>
      </w:r>
      <w:r w:rsidRPr="00E53E52">
        <w:rPr>
          <w:rFonts w:ascii="Century Schoolbook" w:hAnsi="Century Schoolbook"/>
        </w:rPr>
        <w:t xml:space="preserve">The plurality, in an opinion by Justice Kagan, found that section of the statute </w:t>
      </w:r>
      <w:r w:rsidR="00C909C4" w:rsidRPr="00E53E52">
        <w:rPr>
          <w:rFonts w:ascii="Century Schoolbook" w:hAnsi="Century Schoolbook"/>
        </w:rPr>
        <w:t>“</w:t>
      </w:r>
      <w:r w:rsidRPr="00E53E52">
        <w:rPr>
          <w:rFonts w:ascii="Century Schoolbook" w:hAnsi="Century Schoolbook"/>
        </w:rPr>
        <w:t>through and through perplexing,</w:t>
      </w:r>
      <w:r w:rsidR="00C909C4" w:rsidRPr="00E53E52">
        <w:rPr>
          <w:rFonts w:ascii="Century Schoolbook" w:hAnsi="Century Schoolbook"/>
        </w:rPr>
        <w:t>”</w:t>
      </w:r>
      <w:r w:rsidRPr="00E53E52">
        <w:rPr>
          <w:rFonts w:ascii="Century Schoolbook" w:hAnsi="Century Schoolbook"/>
        </w:rPr>
        <w:t xml:space="preserve"> </w:t>
      </w:r>
      <w:r w:rsidRPr="00E53E52">
        <w:rPr>
          <w:rFonts w:ascii="Century Schoolbook" w:hAnsi="Century Schoolbook"/>
          <w:i/>
        </w:rPr>
        <w:t xml:space="preserve">id. </w:t>
      </w:r>
      <w:r w:rsidRPr="00E53E52">
        <w:rPr>
          <w:rFonts w:ascii="Century Schoolbook" w:hAnsi="Century Schoolbook"/>
        </w:rPr>
        <w:t xml:space="preserve">at 2200, and held that </w:t>
      </w:r>
      <w:r w:rsidRPr="00E53E52">
        <w:rPr>
          <w:rFonts w:ascii="Century Schoolbook" w:hAnsi="Century Schoolbook"/>
          <w:i/>
        </w:rPr>
        <w:t xml:space="preserve">Chevron </w:t>
      </w:r>
      <w:r w:rsidRPr="00E53E52">
        <w:rPr>
          <w:rFonts w:ascii="Century Schoolbook" w:hAnsi="Century Schoolbook"/>
        </w:rPr>
        <w:t>deference to the BIA was appropriate:</w:t>
      </w:r>
      <w:r w:rsidR="00810FDA" w:rsidRPr="00E53E52">
        <w:rPr>
          <w:rFonts w:ascii="Century Schoolbook" w:hAnsi="Century Schoolbook"/>
        </w:rPr>
        <w:t xml:space="preserve"> </w:t>
      </w:r>
    </w:p>
    <w:p w14:paraId="25F4BA7E" w14:textId="0AA35700" w:rsidR="00732527" w:rsidRPr="00E53E52" w:rsidRDefault="00732527" w:rsidP="0036367F">
      <w:pPr>
        <w:spacing w:after="120"/>
        <w:ind w:left="720" w:right="720" w:firstLine="720"/>
        <w:jc w:val="both"/>
        <w:rPr>
          <w:rFonts w:ascii="Century Schoolbook" w:hAnsi="Century Schoolbook"/>
        </w:rPr>
      </w:pPr>
      <w:r w:rsidRPr="00E53E52">
        <w:rPr>
          <w:rFonts w:ascii="Century Schoolbook" w:hAnsi="Century Schoolbook"/>
        </w:rPr>
        <w:lastRenderedPageBreak/>
        <w:t>The argument [against the BIA</w:t>
      </w:r>
      <w:r w:rsidR="00C909C4" w:rsidRPr="00E53E52">
        <w:rPr>
          <w:rFonts w:ascii="Century Schoolbook" w:hAnsi="Century Schoolbook"/>
        </w:rPr>
        <w:t>’</w:t>
      </w:r>
      <w:r w:rsidRPr="00E53E52">
        <w:rPr>
          <w:rFonts w:ascii="Century Schoolbook" w:hAnsi="Century Schoolbook"/>
        </w:rPr>
        <w:t>s interpretation] assumes that the respondents</w:t>
      </w:r>
      <w:r w:rsidR="00C909C4" w:rsidRPr="00E53E52">
        <w:rPr>
          <w:rFonts w:ascii="Century Schoolbook" w:hAnsi="Century Schoolbook"/>
        </w:rPr>
        <w:t>’</w:t>
      </w:r>
      <w:r w:rsidRPr="00E53E52">
        <w:rPr>
          <w:rFonts w:ascii="Century Schoolbook" w:hAnsi="Century Schoolbook"/>
        </w:rPr>
        <w:t xml:space="preserve"> sons and daughters should </w:t>
      </w:r>
      <w:r w:rsidR="00C909C4" w:rsidRPr="00E53E52">
        <w:rPr>
          <w:rFonts w:ascii="Century Schoolbook" w:hAnsi="Century Schoolbook"/>
        </w:rPr>
        <w:t>“</w:t>
      </w:r>
      <w:r w:rsidRPr="00E53E52">
        <w:rPr>
          <w:rFonts w:ascii="Century Schoolbook" w:hAnsi="Century Schoolbook"/>
        </w:rPr>
        <w:t>receive credit</w:t>
      </w:r>
      <w:r w:rsidR="00C909C4" w:rsidRPr="00E53E52">
        <w:rPr>
          <w:rFonts w:ascii="Century Schoolbook" w:hAnsi="Century Schoolbook"/>
        </w:rPr>
        <w:t>”</w:t>
      </w:r>
      <w:r w:rsidRPr="00E53E52">
        <w:rPr>
          <w:rFonts w:ascii="Century Schoolbook" w:hAnsi="Century Schoolbook"/>
        </w:rPr>
        <w:t xml:space="preserve"> for all the time the respondents themselves stood in line. * * </w:t>
      </w:r>
      <w:r w:rsidR="00DA2A7D" w:rsidRPr="00E53E52">
        <w:rPr>
          <w:rFonts w:ascii="Century Schoolbook" w:hAnsi="Century Schoolbook"/>
        </w:rPr>
        <w:t>* But</w:t>
      </w:r>
      <w:r w:rsidRPr="00E53E52">
        <w:rPr>
          <w:rFonts w:ascii="Century Schoolbook" w:hAnsi="Century Schoolbook"/>
        </w:rPr>
        <w:t xml:space="preserve"> if the parent had died while waiting for a visa, or had been found ineligible, or had decided not to immigrate after all, the derivative would have gotten nothing for the time spent in line. Similarly, the Board could reasonably conclude, he should not receive credit for his parent</w:t>
      </w:r>
      <w:r w:rsidR="00C909C4" w:rsidRPr="00E53E52">
        <w:rPr>
          <w:rFonts w:ascii="Century Schoolbook" w:hAnsi="Century Schoolbook"/>
        </w:rPr>
        <w:t>’</w:t>
      </w:r>
      <w:r w:rsidRPr="00E53E52">
        <w:rPr>
          <w:rFonts w:ascii="Century Schoolbook" w:hAnsi="Century Schoolbook"/>
        </w:rPr>
        <w:t>s wait when he has become old enough to live independently. In the unavoidably zero-sum world of allocating a limited number of visas, the Board could decide that he belongs behind any alien who has had a lengthier stand-alone entitlement to immigrate. * * *</w:t>
      </w:r>
    </w:p>
    <w:p w14:paraId="38A33363" w14:textId="162BB80E" w:rsidR="00732527" w:rsidRPr="00E53E52" w:rsidRDefault="00732527" w:rsidP="0036367F">
      <w:pPr>
        <w:spacing w:after="120"/>
        <w:ind w:left="720" w:right="720" w:firstLine="720"/>
        <w:jc w:val="both"/>
        <w:rPr>
          <w:rFonts w:ascii="Century Schoolbook" w:hAnsi="Century Schoolbook"/>
        </w:rPr>
      </w:pPr>
      <w:r w:rsidRPr="00E53E52">
        <w:rPr>
          <w:rFonts w:ascii="Century Schoolbook" w:hAnsi="Century Schoolbook"/>
        </w:rPr>
        <w:t xml:space="preserve">This is the kind of case </w:t>
      </w:r>
      <w:r w:rsidRPr="00E53E52">
        <w:rPr>
          <w:rFonts w:ascii="Century Schoolbook" w:hAnsi="Century Schoolbook"/>
          <w:i/>
          <w:iCs/>
        </w:rPr>
        <w:t>Chevron</w:t>
      </w:r>
      <w:r w:rsidRPr="00E53E52">
        <w:rPr>
          <w:rFonts w:ascii="Century Schoolbook" w:hAnsi="Century Schoolbook"/>
        </w:rPr>
        <w:t xml:space="preserve"> was built for. Whatever Congress might have meant in enacting </w:t>
      </w:r>
      <w:r w:rsidR="008C132A" w:rsidRPr="00E53E52">
        <w:rPr>
          <w:rFonts w:ascii="Century Schoolbook" w:hAnsi="Century Schoolbook"/>
        </w:rPr>
        <w:t>§ </w:t>
      </w:r>
      <w:r w:rsidRPr="00E53E52">
        <w:rPr>
          <w:rFonts w:ascii="Century Schoolbook" w:hAnsi="Century Schoolbook"/>
        </w:rPr>
        <w:t>203(h)(3), it failed to speak clearly. Confronted with a self-contradictory, ambiguous provision in a complex statutory scheme, the Board chose a textually reasonable construction consonant with its view of the purposes and policies underlying immigration law. Were we to overturn the Board in that circumstance, we would assume as our own the responsible and expert agency</w:t>
      </w:r>
      <w:r w:rsidR="00C909C4" w:rsidRPr="00E53E52">
        <w:rPr>
          <w:rFonts w:ascii="Century Schoolbook" w:hAnsi="Century Schoolbook"/>
        </w:rPr>
        <w:t>’</w:t>
      </w:r>
      <w:r w:rsidRPr="00E53E52">
        <w:rPr>
          <w:rFonts w:ascii="Century Schoolbook" w:hAnsi="Century Schoolbook"/>
        </w:rPr>
        <w:t>s role. We decline that path, and defer to the Board.</w:t>
      </w:r>
    </w:p>
    <w:p w14:paraId="67F73EF8" w14:textId="77777777" w:rsidR="00732527" w:rsidRPr="00E53E52" w:rsidRDefault="00732527" w:rsidP="001D1D6E">
      <w:pPr>
        <w:spacing w:after="120"/>
        <w:jc w:val="both"/>
        <w:rPr>
          <w:rFonts w:ascii="Century Schoolbook" w:hAnsi="Century Schoolbook"/>
        </w:rPr>
      </w:pPr>
      <w:r w:rsidRPr="00E53E52">
        <w:rPr>
          <w:rFonts w:ascii="Century Schoolbook" w:hAnsi="Century Schoolbook"/>
          <w:i/>
        </w:rPr>
        <w:t>Id</w:t>
      </w:r>
      <w:r w:rsidRPr="00E53E52">
        <w:rPr>
          <w:rFonts w:ascii="Century Schoolbook" w:hAnsi="Century Schoolbook"/>
        </w:rPr>
        <w:t>. at 2213</w:t>
      </w:r>
      <w:r w:rsidR="00027B0C" w:rsidRPr="00E53E52">
        <w:rPr>
          <w:rFonts w:ascii="Century Schoolbook" w:hAnsi="Century Schoolbook"/>
        </w:rPr>
        <w:t xml:space="preserve">. </w:t>
      </w:r>
    </w:p>
    <w:p w14:paraId="1337A06A" w14:textId="007B81B2" w:rsidR="00732527" w:rsidRPr="00E53E52" w:rsidRDefault="00732527" w:rsidP="0036367F">
      <w:pPr>
        <w:spacing w:after="120"/>
        <w:ind w:firstLine="720"/>
        <w:jc w:val="both"/>
        <w:rPr>
          <w:rFonts w:ascii="Century Schoolbook" w:hAnsi="Century Schoolbook"/>
        </w:rPr>
      </w:pPr>
      <w:r w:rsidRPr="00E53E52">
        <w:rPr>
          <w:rFonts w:ascii="Century Schoolbook" w:hAnsi="Century Schoolbook"/>
        </w:rPr>
        <w:t>Justices Roberts and Scalia concurred in the judgment, objecting to the plurality</w:t>
      </w:r>
      <w:r w:rsidR="00C909C4" w:rsidRPr="00E53E52">
        <w:rPr>
          <w:rFonts w:ascii="Century Schoolbook" w:hAnsi="Century Schoolbook"/>
        </w:rPr>
        <w:t>’</w:t>
      </w:r>
      <w:r w:rsidRPr="00E53E52">
        <w:rPr>
          <w:rFonts w:ascii="Century Schoolbook" w:hAnsi="Century Schoolbook"/>
        </w:rPr>
        <w:t xml:space="preserve">s view that a self-contradictory statute would justify </w:t>
      </w:r>
      <w:r w:rsidRPr="00E53E52">
        <w:rPr>
          <w:rFonts w:ascii="Century Schoolbook" w:hAnsi="Century Schoolbook"/>
          <w:i/>
        </w:rPr>
        <w:t>Chevron</w:t>
      </w:r>
      <w:r w:rsidRPr="00E53E52">
        <w:rPr>
          <w:rFonts w:ascii="Century Schoolbook" w:hAnsi="Century Schoolbook"/>
        </w:rPr>
        <w:t xml:space="preserve"> deference, but still finding the statute sufficiently ambiguous to reach the same result. Justice Alito and Justice Sotomayor dissented, the latter joined by Justice Breyer and (except for one footnote) Justice Thomas. The dissenters argued that Congress</w:t>
      </w:r>
      <w:r w:rsidR="00C909C4" w:rsidRPr="00E53E52">
        <w:rPr>
          <w:rFonts w:ascii="Century Schoolbook" w:hAnsi="Century Schoolbook"/>
        </w:rPr>
        <w:t>’</w:t>
      </w:r>
      <w:r w:rsidRPr="00E53E52">
        <w:rPr>
          <w:rFonts w:ascii="Century Schoolbook" w:hAnsi="Century Schoolbook"/>
        </w:rPr>
        <w:t xml:space="preserve">s clear or dominant intent was to preserve the earlier priority date for the child, no matter when or how an </w:t>
      </w:r>
      <w:r w:rsidR="00C909C4" w:rsidRPr="00E53E52">
        <w:rPr>
          <w:rFonts w:ascii="Century Schoolbook" w:hAnsi="Century Schoolbook"/>
        </w:rPr>
        <w:t>“</w:t>
      </w:r>
      <w:r w:rsidRPr="00E53E52">
        <w:rPr>
          <w:rFonts w:ascii="Century Schoolbook" w:hAnsi="Century Schoolbook"/>
        </w:rPr>
        <w:t>appropriate category</w:t>
      </w:r>
      <w:r w:rsidR="00C909C4" w:rsidRPr="00E53E52">
        <w:rPr>
          <w:rFonts w:ascii="Century Schoolbook" w:hAnsi="Century Schoolbook"/>
        </w:rPr>
        <w:t>”</w:t>
      </w:r>
      <w:r w:rsidRPr="00E53E52">
        <w:rPr>
          <w:rFonts w:ascii="Century Schoolbook" w:hAnsi="Century Schoolbook"/>
        </w:rPr>
        <w:t xml:space="preserve"> becomes available</w:t>
      </w:r>
      <w:r w:rsidR="00027B0C" w:rsidRPr="00E53E52">
        <w:rPr>
          <w:rFonts w:ascii="Century Schoolbook" w:hAnsi="Century Schoolbook"/>
        </w:rPr>
        <w:t xml:space="preserve">. </w:t>
      </w:r>
      <w:r w:rsidRPr="00E53E52">
        <w:rPr>
          <w:rFonts w:ascii="Century Schoolbook" w:hAnsi="Century Schoolbook"/>
        </w:rPr>
        <w:t xml:space="preserve">Justice Sotomayor wrote that, before finding ambiguity, courts are called upon to interpret statutes as a </w:t>
      </w:r>
      <w:r w:rsidR="00C909C4" w:rsidRPr="00E53E52">
        <w:rPr>
          <w:rFonts w:ascii="Century Schoolbook" w:hAnsi="Century Schoolbook"/>
        </w:rPr>
        <w:t>“</w:t>
      </w:r>
      <w:r w:rsidRPr="00E53E52">
        <w:rPr>
          <w:rFonts w:ascii="Century Schoolbook" w:hAnsi="Century Schoolbook"/>
        </w:rPr>
        <w:t>coherent regulatory scheme,</w:t>
      </w:r>
      <w:r w:rsidR="00C909C4" w:rsidRPr="00E53E52">
        <w:rPr>
          <w:rFonts w:ascii="Century Schoolbook" w:hAnsi="Century Schoolbook"/>
        </w:rPr>
        <w:t>”</w:t>
      </w:r>
      <w:r w:rsidRPr="00E53E52">
        <w:rPr>
          <w:rFonts w:ascii="Century Schoolbook" w:hAnsi="Century Schoolbook"/>
        </w:rPr>
        <w:t xml:space="preserve"> fitting, if possible, all parts into a </w:t>
      </w:r>
      <w:r w:rsidR="00C909C4" w:rsidRPr="00E53E52">
        <w:rPr>
          <w:rFonts w:ascii="Century Schoolbook" w:hAnsi="Century Schoolbook"/>
        </w:rPr>
        <w:t>“</w:t>
      </w:r>
      <w:r w:rsidRPr="00E53E52">
        <w:rPr>
          <w:rFonts w:ascii="Century Schoolbook" w:hAnsi="Century Schoolbook"/>
        </w:rPr>
        <w:t>harmonious whole</w:t>
      </w:r>
      <w:r w:rsidR="007E3C1C" w:rsidRPr="00E53E52">
        <w:rPr>
          <w:rFonts w:ascii="Century Schoolbook" w:hAnsi="Century Schoolbook"/>
        </w:rPr>
        <w:t>.</w:t>
      </w:r>
      <w:r w:rsidR="00C909C4" w:rsidRPr="00E53E52">
        <w:rPr>
          <w:rFonts w:ascii="Century Schoolbook" w:hAnsi="Century Schoolbook"/>
        </w:rPr>
        <w:t>”</w:t>
      </w:r>
      <w:r w:rsidR="007E3C1C" w:rsidRPr="00E53E52">
        <w:rPr>
          <w:rFonts w:ascii="Century Schoolbook" w:hAnsi="Century Schoolbook"/>
        </w:rPr>
        <w:t xml:space="preserve"> </w:t>
      </w:r>
      <w:r w:rsidRPr="00E53E52">
        <w:rPr>
          <w:rFonts w:ascii="Century Schoolbook" w:hAnsi="Century Schoolbook"/>
          <w:i/>
        </w:rPr>
        <w:t>Id</w:t>
      </w:r>
      <w:r w:rsidRPr="00E53E52">
        <w:rPr>
          <w:rFonts w:ascii="Century Schoolbook" w:hAnsi="Century Schoolbook"/>
        </w:rPr>
        <w:t>. at 2217.</w:t>
      </w:r>
    </w:p>
    <w:p w14:paraId="3C1A63BA" w14:textId="77777777" w:rsidR="00251145" w:rsidRPr="00E53E52" w:rsidRDefault="00251145" w:rsidP="001D1D6E">
      <w:pPr>
        <w:spacing w:after="120"/>
        <w:rPr>
          <w:rFonts w:ascii="Century Schoolbook" w:hAnsi="Century Schoolbook"/>
        </w:rPr>
      </w:pPr>
      <w:r w:rsidRPr="00E53E52">
        <w:rPr>
          <w:rFonts w:ascii="Century Schoolbook" w:hAnsi="Century Schoolbook"/>
          <w:b/>
        </w:rPr>
        <w:t xml:space="preserve">p. 111, </w:t>
      </w:r>
      <w:r w:rsidR="005A4CD9" w:rsidRPr="00E53E52">
        <w:rPr>
          <w:rFonts w:ascii="Century Schoolbook" w:hAnsi="Century Schoolbook"/>
          <w:b/>
        </w:rPr>
        <w:t xml:space="preserve">in the second full paragraph, replace the first four words with: </w:t>
      </w:r>
    </w:p>
    <w:p w14:paraId="5B70A219" w14:textId="77777777" w:rsidR="00FA1EE4" w:rsidRPr="00E53E52" w:rsidRDefault="005A4CD9" w:rsidP="0036367F">
      <w:pPr>
        <w:spacing w:after="120"/>
        <w:ind w:firstLine="720"/>
        <w:jc w:val="both"/>
        <w:rPr>
          <w:rFonts w:ascii="Century Schoolbook" w:hAnsi="Century Schoolbook"/>
        </w:rPr>
      </w:pPr>
      <w:r w:rsidRPr="00E53E52">
        <w:rPr>
          <w:rFonts w:ascii="Century Schoolbook" w:hAnsi="Century Schoolbook"/>
        </w:rPr>
        <w:t xml:space="preserve">Neither </w:t>
      </w:r>
      <w:r w:rsidRPr="00E53E52">
        <w:rPr>
          <w:rFonts w:ascii="Century Schoolbook" w:hAnsi="Century Schoolbook"/>
          <w:i/>
        </w:rPr>
        <w:t>Cuellar de Osorio</w:t>
      </w:r>
      <w:r w:rsidRPr="00E53E52">
        <w:rPr>
          <w:rFonts w:ascii="Century Schoolbook" w:hAnsi="Century Schoolbook"/>
        </w:rPr>
        <w:t xml:space="preserve"> nor </w:t>
      </w:r>
      <w:r w:rsidRPr="00E53E52">
        <w:rPr>
          <w:rFonts w:ascii="Century Schoolbook" w:hAnsi="Century Schoolbook"/>
          <w:i/>
        </w:rPr>
        <w:t>Judulang</w:t>
      </w:r>
      <w:r w:rsidRPr="00E53E52">
        <w:rPr>
          <w:rFonts w:ascii="Century Schoolbook" w:hAnsi="Century Schoolbook"/>
        </w:rPr>
        <w:t xml:space="preserve"> involved</w:t>
      </w:r>
    </w:p>
    <w:p w14:paraId="7B6B98E9" w14:textId="7F5C474C" w:rsidR="00502834" w:rsidRPr="00E53E52" w:rsidRDefault="00FA1EE4" w:rsidP="001D1D6E">
      <w:pPr>
        <w:spacing w:after="120"/>
        <w:rPr>
          <w:rFonts w:ascii="Century Schoolbook" w:hAnsi="Century Schoolbook"/>
          <w:b/>
        </w:rPr>
      </w:pPr>
      <w:r w:rsidRPr="00E53E52">
        <w:rPr>
          <w:rFonts w:ascii="Century Schoolbook" w:hAnsi="Century Schoolbook"/>
          <w:b/>
        </w:rPr>
        <w:t>p</w:t>
      </w:r>
      <w:r w:rsidR="00F368DB" w:rsidRPr="00E53E52">
        <w:rPr>
          <w:rFonts w:ascii="Century Schoolbook" w:hAnsi="Century Schoolbook"/>
          <w:b/>
        </w:rPr>
        <w:t>p</w:t>
      </w:r>
      <w:r w:rsidRPr="00E53E52">
        <w:rPr>
          <w:rFonts w:ascii="Century Schoolbook" w:hAnsi="Century Schoolbook"/>
          <w:b/>
        </w:rPr>
        <w:t xml:space="preserve">. </w:t>
      </w:r>
      <w:r w:rsidR="0088751C" w:rsidRPr="00E53E52">
        <w:rPr>
          <w:rFonts w:ascii="Century Schoolbook" w:hAnsi="Century Schoolbook"/>
          <w:b/>
        </w:rPr>
        <w:t>112</w:t>
      </w:r>
      <w:r w:rsidR="00F368DB" w:rsidRPr="00E53E52">
        <w:rPr>
          <w:rFonts w:ascii="Century Schoolbook" w:hAnsi="Century Schoolbook"/>
          <w:b/>
        </w:rPr>
        <w:t>-130</w:t>
      </w:r>
      <w:r w:rsidRPr="00E53E52">
        <w:rPr>
          <w:rFonts w:ascii="Century Schoolbook" w:hAnsi="Century Schoolbook"/>
          <w:b/>
        </w:rPr>
        <w:t xml:space="preserve">, </w:t>
      </w:r>
      <w:r w:rsidR="00296443" w:rsidRPr="00E53E52">
        <w:rPr>
          <w:rFonts w:ascii="Century Schoolbook" w:hAnsi="Century Schoolbook"/>
          <w:b/>
        </w:rPr>
        <w:t>replace the text of D.</w:t>
      </w:r>
      <w:r w:rsidR="00810FDA" w:rsidRPr="00E53E52">
        <w:rPr>
          <w:rFonts w:ascii="Century Schoolbook" w:hAnsi="Century Schoolbook"/>
          <w:b/>
        </w:rPr>
        <w:t xml:space="preserve"> </w:t>
      </w:r>
      <w:r w:rsidR="00296443" w:rsidRPr="00E53E52">
        <w:rPr>
          <w:rFonts w:ascii="Century Schoolbook" w:hAnsi="Century Schoolbook"/>
          <w:b/>
        </w:rPr>
        <w:t>TRENDS AND STATISTICS, with the following</w:t>
      </w:r>
      <w:r w:rsidRPr="00E53E52">
        <w:rPr>
          <w:rFonts w:ascii="Century Schoolbook" w:hAnsi="Century Schoolbook"/>
          <w:b/>
        </w:rPr>
        <w:t>:</w:t>
      </w:r>
      <w:r w:rsidR="005A4CD9" w:rsidRPr="00E53E52">
        <w:rPr>
          <w:rFonts w:ascii="Century Schoolbook" w:hAnsi="Century Schoolbook"/>
          <w:b/>
        </w:rPr>
        <w:t xml:space="preserve"> </w:t>
      </w:r>
    </w:p>
    <w:p w14:paraId="12848CED" w14:textId="142BB31B" w:rsidR="002B60F6" w:rsidRPr="00E53E52" w:rsidRDefault="002B60F6" w:rsidP="0036367F">
      <w:pPr>
        <w:pStyle w:val="TextParagraph"/>
        <w:spacing w:before="0" w:after="120" w:line="276" w:lineRule="auto"/>
        <w:ind w:firstLine="720"/>
        <w:rPr>
          <w:sz w:val="22"/>
          <w:szCs w:val="22"/>
        </w:rPr>
      </w:pPr>
      <w:r w:rsidRPr="00E53E52">
        <w:rPr>
          <w:sz w:val="22"/>
          <w:szCs w:val="22"/>
        </w:rPr>
        <w:t>The graphs and charts in this section report data according to fiscal year, which the federal government defines as the 12 months ending on September 30.</w:t>
      </w:r>
      <w:r w:rsidR="00810FDA" w:rsidRPr="00E53E52">
        <w:rPr>
          <w:sz w:val="22"/>
          <w:szCs w:val="22"/>
        </w:rPr>
        <w:t xml:space="preserve"> </w:t>
      </w:r>
      <w:r w:rsidRPr="00E53E52">
        <w:rPr>
          <w:sz w:val="22"/>
          <w:szCs w:val="22"/>
        </w:rPr>
        <w:t>The first two graphs contain data collected by DHS and EOIR.</w:t>
      </w:r>
      <w:r w:rsidR="00810FDA" w:rsidRPr="00E53E52">
        <w:rPr>
          <w:sz w:val="22"/>
          <w:szCs w:val="22"/>
        </w:rPr>
        <w:t xml:space="preserve"> </w:t>
      </w:r>
      <w:r w:rsidRPr="00E53E52">
        <w:rPr>
          <w:sz w:val="22"/>
          <w:szCs w:val="22"/>
        </w:rPr>
        <w:t>They plot both affirmative asylum claims filed with INS/USCIS and asylum claims filed with immigration judges. Figure 2.1 shows the number of asylum cases filed affirmatively and defensively and shows the number of asylum cases granted in each setting. Note that many of the claims filed with immigration judges had been preceded by affirmative asylum applications. Thus, some asylum applications appear in both portions of the asylum adjudication caseload; the sum of the two portions exceeds the total number of asylum applicants.</w:t>
      </w:r>
    </w:p>
    <w:p w14:paraId="027E318A" w14:textId="0B9557F6" w:rsidR="00E201AF" w:rsidRPr="00E53E52" w:rsidRDefault="00E201AF" w:rsidP="00E201AF">
      <w:pPr>
        <w:pStyle w:val="TextHeadCentered"/>
        <w:keepNext w:val="0"/>
        <w:suppressAutoHyphens w:val="0"/>
        <w:spacing w:line="276" w:lineRule="auto"/>
        <w:rPr>
          <w:b/>
          <w:sz w:val="22"/>
          <w:szCs w:val="22"/>
        </w:rPr>
      </w:pPr>
      <w:r w:rsidRPr="00E53E52">
        <w:rPr>
          <w:b/>
          <w:sz w:val="22"/>
          <w:szCs w:val="22"/>
        </w:rPr>
        <w:lastRenderedPageBreak/>
        <w:t>Figure 2</w:t>
      </w:r>
      <w:r w:rsidR="00397490" w:rsidRPr="00E53E52">
        <w:rPr>
          <w:b/>
          <w:sz w:val="22"/>
          <w:szCs w:val="22"/>
        </w:rPr>
        <w:t>.1</w:t>
      </w:r>
      <w:r w:rsidRPr="00E53E52">
        <w:rPr>
          <w:b/>
          <w:sz w:val="22"/>
          <w:szCs w:val="22"/>
        </w:rPr>
        <w:br/>
      </w:r>
      <w:bookmarkStart w:id="0" w:name="_Hlk15845358"/>
      <w:r w:rsidRPr="00E53E52">
        <w:rPr>
          <w:b/>
          <w:sz w:val="22"/>
          <w:szCs w:val="22"/>
        </w:rPr>
        <w:t xml:space="preserve">Asylum Cases Filed with </w:t>
      </w:r>
      <w:r w:rsidRPr="00E53E52">
        <w:rPr>
          <w:b/>
          <w:sz w:val="22"/>
          <w:szCs w:val="22"/>
        </w:rPr>
        <w:br/>
        <w:t>Immigration Judges, 1990-2017</w:t>
      </w:r>
    </w:p>
    <w:p w14:paraId="3E3F32BB" w14:textId="77777777" w:rsidR="00E201AF" w:rsidRPr="00E53E52" w:rsidRDefault="00E201AF" w:rsidP="00E201AF">
      <w:pPr>
        <w:pStyle w:val="ImageSpace"/>
        <w:spacing w:line="276" w:lineRule="auto"/>
      </w:pPr>
      <w:r w:rsidRPr="00E53E52">
        <w:rPr>
          <w:b/>
          <w:noProof/>
          <w:sz w:val="22"/>
          <w:szCs w:val="22"/>
        </w:rPr>
        <w:drawing>
          <wp:inline distT="0" distB="0" distL="0" distR="0" wp14:anchorId="5E5E2859" wp14:editId="5D3EB818">
            <wp:extent cx="5486400" cy="3124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98A013C" w14:textId="77777777" w:rsidR="00E201AF" w:rsidRPr="00E53E52" w:rsidRDefault="00E201AF" w:rsidP="00E201AF">
      <w:pPr>
        <w:spacing w:before="120" w:after="240"/>
        <w:jc w:val="center"/>
        <w:rPr>
          <w:rFonts w:ascii="Century Schoolbook" w:hAnsi="Century Schoolbook"/>
          <w:b/>
        </w:rPr>
      </w:pPr>
      <w:r w:rsidRPr="00E53E52">
        <w:rPr>
          <w:rFonts w:ascii="Century Schoolbook" w:hAnsi="Century Schoolbook"/>
          <w:noProof/>
          <w:sz w:val="18"/>
          <w:szCs w:val="18"/>
        </w:rPr>
        <w:t xml:space="preserve">Source: USCIS Refugees, Asylum and Parole System. </w:t>
      </w:r>
      <w:r w:rsidRPr="00E53E52">
        <w:rPr>
          <w:rFonts w:ascii="Century Schoolbook" w:hAnsi="Century Schoolbook"/>
          <w:noProof/>
          <w:sz w:val="18"/>
          <w:szCs w:val="18"/>
        </w:rPr>
        <w:br/>
        <w:t>Asylum Office Workload by Fiscal Year, FY 1991-2016; 2005-2017 EOIR Statistics Yearbooks.</w:t>
      </w:r>
      <w:r w:rsidRPr="00E53E52">
        <w:rPr>
          <w:rFonts w:ascii="Century Schoolbook" w:hAnsi="Century Schoolbook"/>
          <w:b/>
        </w:rPr>
        <w:t xml:space="preserve"> </w:t>
      </w:r>
    </w:p>
    <w:bookmarkEnd w:id="0"/>
    <w:p w14:paraId="3899BEC9" w14:textId="44EFA46A" w:rsidR="008C02D1" w:rsidRPr="00E53E52" w:rsidRDefault="008C02D1" w:rsidP="001D1D6E">
      <w:pPr>
        <w:spacing w:after="120"/>
        <w:jc w:val="center"/>
        <w:rPr>
          <w:rFonts w:ascii="Century Schoolbook" w:hAnsi="Century Schoolbook"/>
          <w:b/>
          <w:sz w:val="18"/>
          <w:szCs w:val="18"/>
        </w:rPr>
      </w:pPr>
      <w:r w:rsidRPr="00E53E52">
        <w:rPr>
          <w:rFonts w:ascii="Century Schoolbook" w:hAnsi="Century Schoolbook"/>
          <w:b/>
          <w:sz w:val="18"/>
          <w:szCs w:val="18"/>
        </w:rPr>
        <w:br w:type="page"/>
      </w:r>
    </w:p>
    <w:p w14:paraId="09469768" w14:textId="32A90F93" w:rsidR="00912047" w:rsidRPr="00E53E52" w:rsidRDefault="00912047" w:rsidP="00912047">
      <w:pPr>
        <w:pStyle w:val="TextHeadCentered"/>
        <w:suppressAutoHyphens w:val="0"/>
        <w:spacing w:line="276" w:lineRule="auto"/>
        <w:rPr>
          <w:b/>
          <w:sz w:val="22"/>
          <w:szCs w:val="22"/>
        </w:rPr>
      </w:pPr>
      <w:r w:rsidRPr="00E53E52">
        <w:rPr>
          <w:b/>
          <w:sz w:val="22"/>
          <w:szCs w:val="22"/>
        </w:rPr>
        <w:lastRenderedPageBreak/>
        <w:t xml:space="preserve">Figure </w:t>
      </w:r>
      <w:r w:rsidR="00397490" w:rsidRPr="00E53E52">
        <w:rPr>
          <w:b/>
          <w:sz w:val="22"/>
          <w:szCs w:val="22"/>
        </w:rPr>
        <w:t>2.2.</w:t>
      </w:r>
      <w:r w:rsidRPr="00E53E52">
        <w:rPr>
          <w:b/>
          <w:sz w:val="22"/>
          <w:szCs w:val="22"/>
        </w:rPr>
        <w:br/>
        <w:t>Asylum Cases Granted by</w:t>
      </w:r>
      <w:r w:rsidRPr="00E53E52">
        <w:rPr>
          <w:b/>
          <w:sz w:val="22"/>
          <w:szCs w:val="22"/>
        </w:rPr>
        <w:br/>
        <w:t>Immigration Judges, 1990-2017</w:t>
      </w:r>
      <w:r w:rsidRPr="00E53E52">
        <w:rPr>
          <w:rStyle w:val="FootnoteReference"/>
          <w:b/>
          <w:sz w:val="22"/>
          <w:szCs w:val="22"/>
        </w:rPr>
        <w:footnoteReference w:id="1"/>
      </w:r>
    </w:p>
    <w:p w14:paraId="742B2A06" w14:textId="77777777" w:rsidR="00912047" w:rsidRPr="00E53E52" w:rsidRDefault="00912047" w:rsidP="00912047">
      <w:pPr>
        <w:pStyle w:val="ImageSpace"/>
        <w:spacing w:line="276" w:lineRule="auto"/>
      </w:pPr>
      <w:r w:rsidRPr="00E53E52">
        <w:rPr>
          <w:b/>
          <w:noProof/>
          <w:sz w:val="22"/>
          <w:szCs w:val="22"/>
        </w:rPr>
        <w:drawing>
          <wp:inline distT="0" distB="0" distL="0" distR="0" wp14:anchorId="47B5805F" wp14:editId="190AA7E3">
            <wp:extent cx="5486400" cy="3124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6F81FB1" w14:textId="77777777" w:rsidR="00912047" w:rsidRPr="00E53E52" w:rsidRDefault="00912047" w:rsidP="00912047">
      <w:pPr>
        <w:pStyle w:val="ImageSpace"/>
        <w:spacing w:line="276" w:lineRule="auto"/>
      </w:pPr>
    </w:p>
    <w:p w14:paraId="67E49859" w14:textId="77777777" w:rsidR="00912047" w:rsidRPr="00E53E52" w:rsidRDefault="00912047" w:rsidP="00912047">
      <w:pPr>
        <w:jc w:val="center"/>
        <w:rPr>
          <w:rFonts w:ascii="Century Schoolbook" w:hAnsi="Century Schoolbook"/>
          <w:noProof/>
          <w:sz w:val="18"/>
          <w:szCs w:val="18"/>
        </w:rPr>
      </w:pPr>
      <w:r w:rsidRPr="00E53E52">
        <w:rPr>
          <w:rFonts w:ascii="Century Schoolbook" w:hAnsi="Century Schoolbook"/>
          <w:noProof/>
          <w:sz w:val="18"/>
          <w:szCs w:val="18"/>
        </w:rPr>
        <w:t xml:space="preserve">Source: USCIS Refugees, Asylum and Parole System. Asylum Office Workload by Fiscal Year, FY 1991-2016; 2005-2017 EOIR Statistics Yearbooks; Asylum: </w:t>
      </w:r>
      <w:r w:rsidRPr="00E53E52">
        <w:rPr>
          <w:rFonts w:ascii="Century Schoolbook" w:hAnsi="Century Schoolbook"/>
          <w:bCs/>
          <w:noProof/>
          <w:sz w:val="18"/>
          <w:szCs w:val="18"/>
        </w:rPr>
        <w:t xml:space="preserve">Variation Exists in Outcomes of Applications Across Immigration Courts and Judges, </w:t>
      </w:r>
      <w:r w:rsidRPr="00E53E52">
        <w:rPr>
          <w:rFonts w:ascii="Century Schoolbook" w:hAnsi="Century Schoolbook"/>
          <w:noProof/>
          <w:sz w:val="18"/>
          <w:szCs w:val="18"/>
        </w:rPr>
        <w:t xml:space="preserve">GAO Report 2016, </w:t>
      </w:r>
      <w:hyperlink r:id="rId21" w:history="1">
        <w:r w:rsidRPr="00E53E52">
          <w:rPr>
            <w:rStyle w:val="Hyperlink"/>
            <w:rFonts w:eastAsiaTheme="minorHAnsi" w:cstheme="minorBidi"/>
            <w:noProof/>
            <w:sz w:val="18"/>
            <w:szCs w:val="18"/>
          </w:rPr>
          <w:t>http://www.gao.gov/assets/690/682965.pdf</w:t>
        </w:r>
      </w:hyperlink>
      <w:r w:rsidRPr="00E53E52">
        <w:rPr>
          <w:rFonts w:ascii="Century Schoolbook" w:hAnsi="Century Schoolbook"/>
          <w:noProof/>
          <w:sz w:val="18"/>
          <w:szCs w:val="18"/>
        </w:rPr>
        <w:t>.</w:t>
      </w:r>
    </w:p>
    <w:p w14:paraId="28D39C71" w14:textId="77777777" w:rsidR="002B60F6" w:rsidRPr="00E53E52" w:rsidRDefault="002B60F6" w:rsidP="001D1D6E">
      <w:pPr>
        <w:spacing w:after="120"/>
        <w:rPr>
          <w:rFonts w:ascii="Century Schoolbook" w:hAnsi="Century Schoolbook"/>
          <w:b/>
          <w:caps/>
        </w:rPr>
      </w:pPr>
      <w:r w:rsidRPr="00E53E52">
        <w:rPr>
          <w:rFonts w:ascii="Century Schoolbook" w:hAnsi="Century Schoolbook"/>
          <w:b/>
          <w:caps/>
        </w:rPr>
        <w:br w:type="page"/>
      </w:r>
    </w:p>
    <w:p w14:paraId="0836B7BA" w14:textId="77777777" w:rsidR="002B60F6" w:rsidRPr="00E53E52" w:rsidRDefault="002B60F6" w:rsidP="0036367F">
      <w:pPr>
        <w:pStyle w:val="TextParagraph"/>
        <w:spacing w:after="120" w:line="276" w:lineRule="auto"/>
        <w:ind w:firstLine="720"/>
        <w:rPr>
          <w:sz w:val="22"/>
          <w:szCs w:val="22"/>
        </w:rPr>
      </w:pPr>
      <w:r w:rsidRPr="00E53E52">
        <w:rPr>
          <w:sz w:val="22"/>
          <w:szCs w:val="22"/>
        </w:rPr>
        <w:lastRenderedPageBreak/>
        <w:t>Figures 2.3 and 2.4 rely solely on DHS data; they refer to affirmative asylum claims filed with DHS and do not take into account asylum decisions by immigration judges. Figure 2.3 reports the number of affirmative asylum cases filed over the past 25 years. Figure 2.4 shows the number of affirmative asylum cases filed with and approved by DHS during the past ten years.</w:t>
      </w:r>
    </w:p>
    <w:p w14:paraId="36330894" w14:textId="77777777" w:rsidR="002B60F6" w:rsidRPr="00E53E52" w:rsidRDefault="002B60F6" w:rsidP="001D1D6E">
      <w:pPr>
        <w:pStyle w:val="TextHeadCentered"/>
        <w:keepNext w:val="0"/>
        <w:spacing w:after="120" w:line="276" w:lineRule="auto"/>
        <w:rPr>
          <w:b/>
          <w:sz w:val="22"/>
          <w:szCs w:val="22"/>
        </w:rPr>
      </w:pPr>
      <w:r w:rsidRPr="00E53E52">
        <w:rPr>
          <w:b/>
          <w:sz w:val="22"/>
          <w:szCs w:val="22"/>
        </w:rPr>
        <w:t>Figure 2.3</w:t>
      </w:r>
      <w:r w:rsidRPr="00E53E52">
        <w:rPr>
          <w:b/>
          <w:sz w:val="22"/>
          <w:szCs w:val="22"/>
        </w:rPr>
        <w:br/>
        <w:t>Affirmative Asylum Applications Filed with INS/USCIS, 1991–2015</w:t>
      </w:r>
    </w:p>
    <w:p w14:paraId="5EDCDD78" w14:textId="77777777" w:rsidR="002B60F6" w:rsidRPr="00E53E52" w:rsidRDefault="002B60F6" w:rsidP="001D1D6E">
      <w:pPr>
        <w:pStyle w:val="ImageSpace"/>
        <w:spacing w:before="120" w:after="120" w:line="276" w:lineRule="auto"/>
        <w:rPr>
          <w:sz w:val="22"/>
          <w:szCs w:val="22"/>
        </w:rPr>
      </w:pPr>
      <w:r w:rsidRPr="00E53E52">
        <w:rPr>
          <w:noProof/>
          <w:sz w:val="22"/>
          <w:szCs w:val="22"/>
        </w:rPr>
        <w:drawing>
          <wp:inline distT="0" distB="0" distL="0" distR="0" wp14:anchorId="37CC5408" wp14:editId="34C082A9">
            <wp:extent cx="4462818" cy="2966720"/>
            <wp:effectExtent l="0" t="0" r="0" b="5080"/>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8.4.tif"/>
                    <pic:cNvPicPr/>
                  </pic:nvPicPr>
                  <pic:blipFill>
                    <a:blip r:embed="rId22" cstate="print">
                      <a:grayscl/>
                      <a:extLst>
                        <a:ext uri="{28A0092B-C50C-407E-A947-70E740481C1C}">
                          <a14:useLocalDpi xmlns:a14="http://schemas.microsoft.com/office/drawing/2010/main" val="0"/>
                        </a:ext>
                      </a:extLst>
                    </a:blip>
                    <a:stretch>
                      <a:fillRect/>
                    </a:stretch>
                  </pic:blipFill>
                  <pic:spPr>
                    <a:xfrm>
                      <a:off x="0" y="0"/>
                      <a:ext cx="4463841" cy="2967400"/>
                    </a:xfrm>
                    <a:prstGeom prst="rect">
                      <a:avLst/>
                    </a:prstGeom>
                  </pic:spPr>
                </pic:pic>
              </a:graphicData>
            </a:graphic>
          </wp:inline>
        </w:drawing>
      </w:r>
    </w:p>
    <w:p w14:paraId="5A293E47" w14:textId="77777777" w:rsidR="002B60F6" w:rsidRPr="00E53E52" w:rsidRDefault="002B60F6" w:rsidP="001D1D6E">
      <w:pPr>
        <w:pStyle w:val="SourceLine"/>
        <w:spacing w:before="40" w:after="120" w:line="276" w:lineRule="auto"/>
        <w:rPr>
          <w:b/>
          <w:szCs w:val="18"/>
        </w:rPr>
      </w:pPr>
      <w:r w:rsidRPr="00E53E52">
        <w:rPr>
          <w:sz w:val="22"/>
          <w:szCs w:val="22"/>
        </w:rPr>
        <w:t xml:space="preserve"> </w:t>
      </w:r>
      <w:r w:rsidRPr="00E53E52">
        <w:rPr>
          <w:szCs w:val="18"/>
        </w:rPr>
        <w:t>Source: USCIS Refugees, Asylum and Parole System,</w:t>
      </w:r>
      <w:r w:rsidRPr="00E53E52">
        <w:rPr>
          <w:szCs w:val="18"/>
        </w:rPr>
        <w:br/>
        <w:t>Asylum Office Workload by Fiscal Year, FY 1991–2015.</w:t>
      </w:r>
    </w:p>
    <w:p w14:paraId="7B470307" w14:textId="77777777" w:rsidR="002B60F6" w:rsidRPr="00E53E52" w:rsidRDefault="002B60F6" w:rsidP="0036367F">
      <w:pPr>
        <w:pStyle w:val="TextHeadCentered"/>
        <w:spacing w:before="120" w:after="120" w:line="276" w:lineRule="auto"/>
        <w:ind w:left="0" w:right="0"/>
        <w:rPr>
          <w:b/>
          <w:sz w:val="22"/>
          <w:szCs w:val="22"/>
        </w:rPr>
      </w:pPr>
      <w:r w:rsidRPr="00E53E52">
        <w:rPr>
          <w:b/>
          <w:sz w:val="22"/>
          <w:szCs w:val="22"/>
        </w:rPr>
        <w:lastRenderedPageBreak/>
        <w:t>Figure 2.4</w:t>
      </w:r>
      <w:r w:rsidRPr="00E53E52">
        <w:rPr>
          <w:b/>
          <w:sz w:val="22"/>
          <w:szCs w:val="22"/>
        </w:rPr>
        <w:br/>
        <w:t>Results in Affirmative Asylum Cases Filed with USCIS, 2006–2015</w:t>
      </w:r>
    </w:p>
    <w:p w14:paraId="6E4C308E" w14:textId="77777777" w:rsidR="002B60F6" w:rsidRPr="00E53E52" w:rsidRDefault="002B60F6" w:rsidP="001D1D6E">
      <w:pPr>
        <w:pStyle w:val="Image"/>
        <w:spacing w:before="120" w:after="120"/>
        <w:rPr>
          <w:sz w:val="22"/>
          <w:szCs w:val="22"/>
        </w:rPr>
      </w:pPr>
      <w:r w:rsidRPr="00E53E52">
        <w:rPr>
          <w:sz w:val="22"/>
          <w:szCs w:val="22"/>
        </w:rPr>
        <w:drawing>
          <wp:inline distT="0" distB="0" distL="0" distR="0" wp14:anchorId="5861595F" wp14:editId="29AE7265">
            <wp:extent cx="4353636" cy="3659505"/>
            <wp:effectExtent l="0" t="0" r="889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8.5.tif"/>
                    <pic:cNvPicPr/>
                  </pic:nvPicPr>
                  <pic:blipFill>
                    <a:blip r:embed="rId23" cstate="print">
                      <a:grayscl/>
                      <a:extLst>
                        <a:ext uri="{28A0092B-C50C-407E-A947-70E740481C1C}">
                          <a14:useLocalDpi xmlns:a14="http://schemas.microsoft.com/office/drawing/2010/main" val="0"/>
                        </a:ext>
                      </a:extLst>
                    </a:blip>
                    <a:stretch>
                      <a:fillRect/>
                    </a:stretch>
                  </pic:blipFill>
                  <pic:spPr>
                    <a:xfrm>
                      <a:off x="0" y="0"/>
                      <a:ext cx="4356464" cy="3661882"/>
                    </a:xfrm>
                    <a:prstGeom prst="rect">
                      <a:avLst/>
                    </a:prstGeom>
                  </pic:spPr>
                </pic:pic>
              </a:graphicData>
            </a:graphic>
          </wp:inline>
        </w:drawing>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889"/>
        <w:gridCol w:w="889"/>
        <w:gridCol w:w="889"/>
        <w:gridCol w:w="889"/>
        <w:gridCol w:w="889"/>
      </w:tblGrid>
      <w:tr w:rsidR="002B60F6" w:rsidRPr="00E53E52" w14:paraId="20EFDD2A" w14:textId="77777777" w:rsidTr="00DE3DDF">
        <w:trPr>
          <w:trHeight w:val="330"/>
          <w:jc w:val="center"/>
        </w:trPr>
        <w:tc>
          <w:tcPr>
            <w:tcW w:w="2195" w:type="dxa"/>
            <w:shd w:val="clear" w:color="auto" w:fill="auto"/>
            <w:noWrap/>
            <w:vAlign w:val="center"/>
            <w:hideMark/>
          </w:tcPr>
          <w:p w14:paraId="7BEFB217" w14:textId="77777777" w:rsidR="002B60F6" w:rsidRPr="00E53E52" w:rsidRDefault="002B60F6" w:rsidP="001D1D6E">
            <w:pPr>
              <w:pStyle w:val="TextFlush"/>
              <w:spacing w:before="40" w:after="120" w:line="276" w:lineRule="auto"/>
              <w:rPr>
                <w:b/>
                <w:sz w:val="22"/>
                <w:szCs w:val="22"/>
              </w:rPr>
            </w:pPr>
          </w:p>
        </w:tc>
        <w:tc>
          <w:tcPr>
            <w:tcW w:w="859" w:type="dxa"/>
            <w:shd w:val="clear" w:color="auto" w:fill="auto"/>
            <w:noWrap/>
            <w:vAlign w:val="center"/>
            <w:hideMark/>
          </w:tcPr>
          <w:p w14:paraId="35901BF6" w14:textId="77777777" w:rsidR="002B60F6" w:rsidRPr="00E53E52" w:rsidRDefault="002B60F6" w:rsidP="001D1D6E">
            <w:pPr>
              <w:pStyle w:val="TextFlush"/>
              <w:spacing w:before="40" w:after="120" w:line="276" w:lineRule="auto"/>
              <w:rPr>
                <w:b/>
                <w:sz w:val="22"/>
                <w:szCs w:val="22"/>
              </w:rPr>
            </w:pPr>
            <w:r w:rsidRPr="00E53E52">
              <w:rPr>
                <w:b/>
                <w:sz w:val="22"/>
                <w:szCs w:val="22"/>
              </w:rPr>
              <w:t>2006</w:t>
            </w:r>
          </w:p>
        </w:tc>
        <w:tc>
          <w:tcPr>
            <w:tcW w:w="859" w:type="dxa"/>
            <w:shd w:val="clear" w:color="auto" w:fill="auto"/>
            <w:noWrap/>
            <w:vAlign w:val="center"/>
            <w:hideMark/>
          </w:tcPr>
          <w:p w14:paraId="748D6CBA" w14:textId="77777777" w:rsidR="002B60F6" w:rsidRPr="00E53E52" w:rsidRDefault="002B60F6" w:rsidP="001D1D6E">
            <w:pPr>
              <w:pStyle w:val="TextFlush"/>
              <w:spacing w:before="40" w:after="120" w:line="276" w:lineRule="auto"/>
              <w:rPr>
                <w:b/>
                <w:sz w:val="22"/>
                <w:szCs w:val="22"/>
              </w:rPr>
            </w:pPr>
            <w:r w:rsidRPr="00E53E52">
              <w:rPr>
                <w:b/>
                <w:sz w:val="22"/>
                <w:szCs w:val="22"/>
              </w:rPr>
              <w:t>2008</w:t>
            </w:r>
          </w:p>
        </w:tc>
        <w:tc>
          <w:tcPr>
            <w:tcW w:w="859" w:type="dxa"/>
            <w:shd w:val="clear" w:color="auto" w:fill="auto"/>
            <w:noWrap/>
            <w:vAlign w:val="center"/>
            <w:hideMark/>
          </w:tcPr>
          <w:p w14:paraId="70911CE5" w14:textId="77777777" w:rsidR="002B60F6" w:rsidRPr="00E53E52" w:rsidRDefault="002B60F6" w:rsidP="001D1D6E">
            <w:pPr>
              <w:pStyle w:val="TextFlush"/>
              <w:spacing w:before="40" w:after="120" w:line="276" w:lineRule="auto"/>
              <w:rPr>
                <w:b/>
                <w:sz w:val="22"/>
                <w:szCs w:val="22"/>
              </w:rPr>
            </w:pPr>
            <w:r w:rsidRPr="00E53E52">
              <w:rPr>
                <w:b/>
                <w:sz w:val="22"/>
                <w:szCs w:val="22"/>
              </w:rPr>
              <w:t>2010</w:t>
            </w:r>
          </w:p>
        </w:tc>
        <w:tc>
          <w:tcPr>
            <w:tcW w:w="859" w:type="dxa"/>
            <w:shd w:val="clear" w:color="auto" w:fill="auto"/>
            <w:noWrap/>
            <w:vAlign w:val="center"/>
            <w:hideMark/>
          </w:tcPr>
          <w:p w14:paraId="0A0E6AD1" w14:textId="77777777" w:rsidR="002B60F6" w:rsidRPr="00E53E52" w:rsidRDefault="002B60F6" w:rsidP="001D1D6E">
            <w:pPr>
              <w:pStyle w:val="TextFlush"/>
              <w:spacing w:before="40" w:after="120" w:line="276" w:lineRule="auto"/>
              <w:rPr>
                <w:b/>
                <w:sz w:val="22"/>
                <w:szCs w:val="22"/>
              </w:rPr>
            </w:pPr>
            <w:r w:rsidRPr="00E53E52">
              <w:rPr>
                <w:b/>
                <w:sz w:val="22"/>
                <w:szCs w:val="22"/>
              </w:rPr>
              <w:t>2012</w:t>
            </w:r>
          </w:p>
        </w:tc>
        <w:tc>
          <w:tcPr>
            <w:tcW w:w="849" w:type="dxa"/>
            <w:shd w:val="clear" w:color="auto" w:fill="auto"/>
            <w:noWrap/>
            <w:vAlign w:val="center"/>
            <w:hideMark/>
          </w:tcPr>
          <w:p w14:paraId="66247D82" w14:textId="77777777" w:rsidR="002B60F6" w:rsidRPr="00E53E52" w:rsidRDefault="002B60F6" w:rsidP="001D1D6E">
            <w:pPr>
              <w:pStyle w:val="TextFlush"/>
              <w:spacing w:before="40" w:after="120" w:line="276" w:lineRule="auto"/>
              <w:rPr>
                <w:b/>
                <w:sz w:val="22"/>
                <w:szCs w:val="22"/>
              </w:rPr>
            </w:pPr>
            <w:r w:rsidRPr="00E53E52">
              <w:rPr>
                <w:b/>
                <w:sz w:val="22"/>
                <w:szCs w:val="22"/>
              </w:rPr>
              <w:t>2014</w:t>
            </w:r>
          </w:p>
        </w:tc>
      </w:tr>
      <w:tr w:rsidR="002B60F6" w:rsidRPr="00E53E52" w14:paraId="792B56E3" w14:textId="77777777" w:rsidTr="00DE3DDF">
        <w:trPr>
          <w:trHeight w:val="330"/>
          <w:jc w:val="center"/>
        </w:trPr>
        <w:tc>
          <w:tcPr>
            <w:tcW w:w="2195" w:type="dxa"/>
            <w:shd w:val="clear" w:color="auto" w:fill="595959" w:themeFill="text1" w:themeFillTint="A6"/>
            <w:noWrap/>
            <w:vAlign w:val="center"/>
            <w:hideMark/>
          </w:tcPr>
          <w:p w14:paraId="2D044E2E" w14:textId="77777777" w:rsidR="002B60F6" w:rsidRPr="00E53E52" w:rsidRDefault="002B60F6" w:rsidP="001D1D6E">
            <w:pPr>
              <w:pStyle w:val="TextFlush"/>
              <w:spacing w:before="40" w:after="120" w:line="276" w:lineRule="auto"/>
              <w:rPr>
                <w:sz w:val="22"/>
                <w:szCs w:val="22"/>
              </w:rPr>
            </w:pPr>
            <w:r w:rsidRPr="00E53E52">
              <w:rPr>
                <w:rFonts w:eastAsia="Calibri"/>
                <w:color w:val="FFFFFF" w:themeColor="background1"/>
                <w:sz w:val="22"/>
                <w:szCs w:val="22"/>
              </w:rPr>
              <w:t>Grants</w:t>
            </w:r>
          </w:p>
        </w:tc>
        <w:tc>
          <w:tcPr>
            <w:tcW w:w="859" w:type="dxa"/>
            <w:shd w:val="clear" w:color="auto" w:fill="auto"/>
            <w:noWrap/>
            <w:vAlign w:val="center"/>
            <w:hideMark/>
          </w:tcPr>
          <w:p w14:paraId="1937FDD9" w14:textId="77777777" w:rsidR="002B60F6" w:rsidRPr="00E53E52" w:rsidRDefault="002B60F6" w:rsidP="001D1D6E">
            <w:pPr>
              <w:pStyle w:val="TextFlush"/>
              <w:spacing w:before="40" w:after="120" w:line="276" w:lineRule="auto"/>
              <w:jc w:val="right"/>
              <w:rPr>
                <w:sz w:val="22"/>
                <w:szCs w:val="22"/>
              </w:rPr>
            </w:pPr>
            <w:r w:rsidRPr="00E53E52">
              <w:rPr>
                <w:sz w:val="22"/>
                <w:szCs w:val="22"/>
              </w:rPr>
              <w:t>10,059</w:t>
            </w:r>
          </w:p>
        </w:tc>
        <w:tc>
          <w:tcPr>
            <w:tcW w:w="859" w:type="dxa"/>
            <w:shd w:val="clear" w:color="auto" w:fill="auto"/>
            <w:noWrap/>
            <w:vAlign w:val="center"/>
            <w:hideMark/>
          </w:tcPr>
          <w:p w14:paraId="14123E15" w14:textId="77777777" w:rsidR="002B60F6" w:rsidRPr="00E53E52" w:rsidRDefault="002B60F6" w:rsidP="001D1D6E">
            <w:pPr>
              <w:pStyle w:val="TextFlush"/>
              <w:spacing w:before="40" w:after="120" w:line="276" w:lineRule="auto"/>
              <w:jc w:val="right"/>
              <w:rPr>
                <w:sz w:val="22"/>
                <w:szCs w:val="22"/>
              </w:rPr>
            </w:pPr>
            <w:r w:rsidRPr="00E53E52">
              <w:rPr>
                <w:sz w:val="22"/>
                <w:szCs w:val="22"/>
              </w:rPr>
              <w:t>9,796</w:t>
            </w:r>
          </w:p>
        </w:tc>
        <w:tc>
          <w:tcPr>
            <w:tcW w:w="859" w:type="dxa"/>
            <w:shd w:val="clear" w:color="auto" w:fill="auto"/>
            <w:noWrap/>
            <w:vAlign w:val="center"/>
            <w:hideMark/>
          </w:tcPr>
          <w:p w14:paraId="1AE473B6" w14:textId="77777777" w:rsidR="002B60F6" w:rsidRPr="00E53E52" w:rsidRDefault="002B60F6" w:rsidP="001D1D6E">
            <w:pPr>
              <w:pStyle w:val="TextFlush"/>
              <w:spacing w:before="40" w:after="120" w:line="276" w:lineRule="auto"/>
              <w:jc w:val="right"/>
              <w:rPr>
                <w:sz w:val="22"/>
                <w:szCs w:val="22"/>
              </w:rPr>
            </w:pPr>
            <w:r w:rsidRPr="00E53E52">
              <w:rPr>
                <w:sz w:val="22"/>
                <w:szCs w:val="22"/>
              </w:rPr>
              <w:t>9,174</w:t>
            </w:r>
          </w:p>
        </w:tc>
        <w:tc>
          <w:tcPr>
            <w:tcW w:w="859" w:type="dxa"/>
            <w:shd w:val="clear" w:color="auto" w:fill="auto"/>
            <w:noWrap/>
            <w:vAlign w:val="center"/>
            <w:hideMark/>
          </w:tcPr>
          <w:p w14:paraId="4937DCEA" w14:textId="77777777" w:rsidR="002B60F6" w:rsidRPr="00E53E52" w:rsidRDefault="002B60F6" w:rsidP="001D1D6E">
            <w:pPr>
              <w:pStyle w:val="TextFlush"/>
              <w:spacing w:before="40" w:after="120" w:line="276" w:lineRule="auto"/>
              <w:jc w:val="right"/>
              <w:rPr>
                <w:sz w:val="22"/>
                <w:szCs w:val="22"/>
              </w:rPr>
            </w:pPr>
            <w:r w:rsidRPr="00E53E52">
              <w:rPr>
                <w:sz w:val="22"/>
                <w:szCs w:val="22"/>
              </w:rPr>
              <w:t>12,991</w:t>
            </w:r>
          </w:p>
        </w:tc>
        <w:tc>
          <w:tcPr>
            <w:tcW w:w="849" w:type="dxa"/>
            <w:shd w:val="clear" w:color="auto" w:fill="auto"/>
            <w:noWrap/>
            <w:vAlign w:val="center"/>
            <w:hideMark/>
          </w:tcPr>
          <w:p w14:paraId="7F22E800" w14:textId="77777777" w:rsidR="002B60F6" w:rsidRPr="00E53E52" w:rsidRDefault="002B60F6" w:rsidP="001D1D6E">
            <w:pPr>
              <w:pStyle w:val="TextFlush"/>
              <w:spacing w:before="40" w:after="120" w:line="276" w:lineRule="auto"/>
              <w:jc w:val="right"/>
              <w:rPr>
                <w:sz w:val="22"/>
                <w:szCs w:val="22"/>
              </w:rPr>
            </w:pPr>
            <w:r w:rsidRPr="00E53E52">
              <w:rPr>
                <w:sz w:val="22"/>
                <w:szCs w:val="22"/>
              </w:rPr>
              <w:t>10,811</w:t>
            </w:r>
          </w:p>
        </w:tc>
      </w:tr>
      <w:tr w:rsidR="002B60F6" w:rsidRPr="00E53E52" w14:paraId="3D89D76C" w14:textId="77777777" w:rsidTr="00DE3DDF">
        <w:trPr>
          <w:trHeight w:val="330"/>
          <w:jc w:val="center"/>
        </w:trPr>
        <w:tc>
          <w:tcPr>
            <w:tcW w:w="2195" w:type="dxa"/>
            <w:shd w:val="clear" w:color="auto" w:fill="BFBFBF" w:themeFill="background1" w:themeFillShade="BF"/>
            <w:noWrap/>
            <w:vAlign w:val="center"/>
            <w:hideMark/>
          </w:tcPr>
          <w:p w14:paraId="0EB12B4B" w14:textId="77777777" w:rsidR="002B60F6" w:rsidRPr="00E53E52" w:rsidRDefault="002B60F6" w:rsidP="001D1D6E">
            <w:pPr>
              <w:pStyle w:val="TextFlush"/>
              <w:spacing w:before="40" w:after="120" w:line="276" w:lineRule="auto"/>
              <w:rPr>
                <w:sz w:val="22"/>
                <w:szCs w:val="22"/>
              </w:rPr>
            </w:pPr>
            <w:r w:rsidRPr="00E53E52">
              <w:rPr>
                <w:rFonts w:eastAsia="Calibri"/>
                <w:sz w:val="22"/>
                <w:szCs w:val="22"/>
              </w:rPr>
              <w:t>Referrals</w:t>
            </w:r>
          </w:p>
        </w:tc>
        <w:tc>
          <w:tcPr>
            <w:tcW w:w="859" w:type="dxa"/>
            <w:shd w:val="clear" w:color="auto" w:fill="auto"/>
            <w:noWrap/>
            <w:vAlign w:val="center"/>
            <w:hideMark/>
          </w:tcPr>
          <w:p w14:paraId="3DD69438" w14:textId="77777777" w:rsidR="002B60F6" w:rsidRPr="00E53E52" w:rsidRDefault="002B60F6" w:rsidP="001D1D6E">
            <w:pPr>
              <w:pStyle w:val="TextFlush"/>
              <w:spacing w:before="40" w:after="120" w:line="276" w:lineRule="auto"/>
              <w:jc w:val="right"/>
              <w:rPr>
                <w:sz w:val="22"/>
                <w:szCs w:val="22"/>
              </w:rPr>
            </w:pPr>
            <w:r w:rsidRPr="00E53E52">
              <w:rPr>
                <w:sz w:val="22"/>
                <w:szCs w:val="22"/>
              </w:rPr>
              <w:t>19,061</w:t>
            </w:r>
          </w:p>
        </w:tc>
        <w:tc>
          <w:tcPr>
            <w:tcW w:w="859" w:type="dxa"/>
            <w:shd w:val="clear" w:color="auto" w:fill="auto"/>
            <w:noWrap/>
            <w:vAlign w:val="center"/>
            <w:hideMark/>
          </w:tcPr>
          <w:p w14:paraId="6C00F61E" w14:textId="77777777" w:rsidR="002B60F6" w:rsidRPr="00E53E52" w:rsidRDefault="002B60F6" w:rsidP="001D1D6E">
            <w:pPr>
              <w:pStyle w:val="TextFlush"/>
              <w:spacing w:before="40" w:after="120" w:line="276" w:lineRule="auto"/>
              <w:jc w:val="right"/>
              <w:rPr>
                <w:sz w:val="22"/>
                <w:szCs w:val="22"/>
              </w:rPr>
            </w:pPr>
            <w:r w:rsidRPr="00E53E52">
              <w:rPr>
                <w:sz w:val="22"/>
                <w:szCs w:val="22"/>
              </w:rPr>
              <w:t>17,374</w:t>
            </w:r>
          </w:p>
        </w:tc>
        <w:tc>
          <w:tcPr>
            <w:tcW w:w="859" w:type="dxa"/>
            <w:shd w:val="clear" w:color="auto" w:fill="auto"/>
            <w:noWrap/>
            <w:vAlign w:val="center"/>
            <w:hideMark/>
          </w:tcPr>
          <w:p w14:paraId="7BEECB90" w14:textId="77777777" w:rsidR="002B60F6" w:rsidRPr="00E53E52" w:rsidRDefault="002B60F6" w:rsidP="001D1D6E">
            <w:pPr>
              <w:pStyle w:val="TextFlush"/>
              <w:spacing w:before="40" w:after="120" w:line="276" w:lineRule="auto"/>
              <w:jc w:val="right"/>
              <w:rPr>
                <w:sz w:val="22"/>
                <w:szCs w:val="22"/>
              </w:rPr>
            </w:pPr>
            <w:r w:rsidRPr="00E53E52">
              <w:rPr>
                <w:sz w:val="22"/>
                <w:szCs w:val="22"/>
              </w:rPr>
              <w:t>15,784</w:t>
            </w:r>
          </w:p>
        </w:tc>
        <w:tc>
          <w:tcPr>
            <w:tcW w:w="859" w:type="dxa"/>
            <w:shd w:val="clear" w:color="auto" w:fill="auto"/>
            <w:noWrap/>
            <w:vAlign w:val="center"/>
            <w:hideMark/>
          </w:tcPr>
          <w:p w14:paraId="13045E75" w14:textId="77777777" w:rsidR="002B60F6" w:rsidRPr="00E53E52" w:rsidRDefault="002B60F6" w:rsidP="001D1D6E">
            <w:pPr>
              <w:pStyle w:val="TextFlush"/>
              <w:spacing w:before="40" w:after="120" w:line="276" w:lineRule="auto"/>
              <w:jc w:val="right"/>
              <w:rPr>
                <w:sz w:val="22"/>
                <w:szCs w:val="22"/>
              </w:rPr>
            </w:pPr>
            <w:r w:rsidRPr="00E53E52">
              <w:rPr>
                <w:sz w:val="22"/>
                <w:szCs w:val="22"/>
              </w:rPr>
              <w:t>17,948</w:t>
            </w:r>
          </w:p>
        </w:tc>
        <w:tc>
          <w:tcPr>
            <w:tcW w:w="849" w:type="dxa"/>
            <w:shd w:val="clear" w:color="auto" w:fill="auto"/>
            <w:noWrap/>
            <w:vAlign w:val="center"/>
            <w:hideMark/>
          </w:tcPr>
          <w:p w14:paraId="29A86DD2" w14:textId="77777777" w:rsidR="002B60F6" w:rsidRPr="00E53E52" w:rsidRDefault="002B60F6" w:rsidP="001D1D6E">
            <w:pPr>
              <w:pStyle w:val="TextFlush"/>
              <w:spacing w:before="40" w:after="120" w:line="276" w:lineRule="auto"/>
              <w:jc w:val="right"/>
              <w:rPr>
                <w:sz w:val="22"/>
                <w:szCs w:val="22"/>
              </w:rPr>
            </w:pPr>
            <w:r w:rsidRPr="00E53E52">
              <w:rPr>
                <w:sz w:val="22"/>
                <w:szCs w:val="22"/>
              </w:rPr>
              <w:t>12,034</w:t>
            </w:r>
          </w:p>
        </w:tc>
      </w:tr>
      <w:tr w:rsidR="002B60F6" w:rsidRPr="00E53E52" w14:paraId="3F76AE13" w14:textId="77777777" w:rsidTr="00DE3DDF">
        <w:trPr>
          <w:trHeight w:val="330"/>
          <w:jc w:val="center"/>
        </w:trPr>
        <w:tc>
          <w:tcPr>
            <w:tcW w:w="2195" w:type="dxa"/>
            <w:tcBorders>
              <w:bottom w:val="single" w:sz="4" w:space="0" w:color="auto"/>
            </w:tcBorders>
            <w:shd w:val="clear" w:color="auto" w:fill="808080" w:themeFill="background1" w:themeFillShade="80"/>
            <w:noWrap/>
            <w:vAlign w:val="center"/>
            <w:hideMark/>
          </w:tcPr>
          <w:p w14:paraId="6C1A24AC" w14:textId="77777777" w:rsidR="002B60F6" w:rsidRPr="00E53E52" w:rsidRDefault="002B60F6" w:rsidP="001D1D6E">
            <w:pPr>
              <w:pStyle w:val="TextFlush"/>
              <w:spacing w:before="40" w:after="120" w:line="276" w:lineRule="auto"/>
              <w:rPr>
                <w:sz w:val="22"/>
                <w:szCs w:val="22"/>
              </w:rPr>
            </w:pPr>
            <w:r w:rsidRPr="00E53E52">
              <w:rPr>
                <w:rFonts w:eastAsia="Calibri"/>
                <w:sz w:val="22"/>
                <w:szCs w:val="22"/>
              </w:rPr>
              <w:t>Denials</w:t>
            </w:r>
          </w:p>
        </w:tc>
        <w:tc>
          <w:tcPr>
            <w:tcW w:w="859" w:type="dxa"/>
            <w:tcBorders>
              <w:bottom w:val="single" w:sz="4" w:space="0" w:color="auto"/>
            </w:tcBorders>
            <w:shd w:val="clear" w:color="auto" w:fill="auto"/>
            <w:noWrap/>
            <w:vAlign w:val="center"/>
            <w:hideMark/>
          </w:tcPr>
          <w:p w14:paraId="41FDBD8A" w14:textId="77777777" w:rsidR="002B60F6" w:rsidRPr="00E53E52" w:rsidRDefault="002B60F6" w:rsidP="001D1D6E">
            <w:pPr>
              <w:pStyle w:val="TextFlush"/>
              <w:spacing w:before="40" w:after="120" w:line="276" w:lineRule="auto"/>
              <w:jc w:val="right"/>
              <w:rPr>
                <w:sz w:val="22"/>
                <w:szCs w:val="22"/>
              </w:rPr>
            </w:pPr>
            <w:r w:rsidRPr="00E53E52">
              <w:rPr>
                <w:sz w:val="22"/>
                <w:szCs w:val="22"/>
              </w:rPr>
              <w:t>2,202</w:t>
            </w:r>
          </w:p>
        </w:tc>
        <w:tc>
          <w:tcPr>
            <w:tcW w:w="859" w:type="dxa"/>
            <w:tcBorders>
              <w:bottom w:val="single" w:sz="4" w:space="0" w:color="auto"/>
            </w:tcBorders>
            <w:shd w:val="clear" w:color="auto" w:fill="auto"/>
            <w:noWrap/>
            <w:vAlign w:val="center"/>
            <w:hideMark/>
          </w:tcPr>
          <w:p w14:paraId="3E5D3611" w14:textId="77777777" w:rsidR="002B60F6" w:rsidRPr="00E53E52" w:rsidRDefault="002B60F6" w:rsidP="001D1D6E">
            <w:pPr>
              <w:pStyle w:val="TextFlush"/>
              <w:spacing w:before="40" w:after="120" w:line="276" w:lineRule="auto"/>
              <w:jc w:val="right"/>
              <w:rPr>
                <w:sz w:val="22"/>
                <w:szCs w:val="22"/>
              </w:rPr>
            </w:pPr>
            <w:r w:rsidRPr="00E53E52">
              <w:rPr>
                <w:sz w:val="22"/>
                <w:szCs w:val="22"/>
              </w:rPr>
              <w:t>4,188</w:t>
            </w:r>
          </w:p>
        </w:tc>
        <w:tc>
          <w:tcPr>
            <w:tcW w:w="859" w:type="dxa"/>
            <w:tcBorders>
              <w:bottom w:val="single" w:sz="4" w:space="0" w:color="auto"/>
            </w:tcBorders>
            <w:shd w:val="clear" w:color="auto" w:fill="auto"/>
            <w:noWrap/>
            <w:vAlign w:val="center"/>
            <w:hideMark/>
          </w:tcPr>
          <w:p w14:paraId="18F00956" w14:textId="77777777" w:rsidR="002B60F6" w:rsidRPr="00E53E52" w:rsidRDefault="002B60F6" w:rsidP="001D1D6E">
            <w:pPr>
              <w:pStyle w:val="TextFlush"/>
              <w:spacing w:before="40" w:after="120" w:line="276" w:lineRule="auto"/>
              <w:jc w:val="right"/>
              <w:rPr>
                <w:sz w:val="22"/>
                <w:szCs w:val="22"/>
              </w:rPr>
            </w:pPr>
            <w:r w:rsidRPr="00E53E52">
              <w:rPr>
                <w:sz w:val="22"/>
                <w:szCs w:val="22"/>
              </w:rPr>
              <w:t>958</w:t>
            </w:r>
          </w:p>
        </w:tc>
        <w:tc>
          <w:tcPr>
            <w:tcW w:w="859" w:type="dxa"/>
            <w:tcBorders>
              <w:bottom w:val="single" w:sz="4" w:space="0" w:color="auto"/>
            </w:tcBorders>
            <w:shd w:val="clear" w:color="auto" w:fill="auto"/>
            <w:noWrap/>
            <w:vAlign w:val="center"/>
            <w:hideMark/>
          </w:tcPr>
          <w:p w14:paraId="4BA2F5F1" w14:textId="77777777" w:rsidR="002B60F6" w:rsidRPr="00E53E52" w:rsidRDefault="002B60F6" w:rsidP="001D1D6E">
            <w:pPr>
              <w:pStyle w:val="TextFlush"/>
              <w:spacing w:before="40" w:after="120" w:line="276" w:lineRule="auto"/>
              <w:jc w:val="right"/>
              <w:rPr>
                <w:sz w:val="22"/>
                <w:szCs w:val="22"/>
              </w:rPr>
            </w:pPr>
            <w:r w:rsidRPr="00E53E52">
              <w:rPr>
                <w:sz w:val="22"/>
                <w:szCs w:val="22"/>
              </w:rPr>
              <w:t>922</w:t>
            </w:r>
          </w:p>
        </w:tc>
        <w:tc>
          <w:tcPr>
            <w:tcW w:w="849" w:type="dxa"/>
            <w:tcBorders>
              <w:bottom w:val="single" w:sz="4" w:space="0" w:color="auto"/>
            </w:tcBorders>
            <w:shd w:val="clear" w:color="auto" w:fill="auto"/>
            <w:noWrap/>
            <w:vAlign w:val="center"/>
            <w:hideMark/>
          </w:tcPr>
          <w:p w14:paraId="45C20640" w14:textId="77777777" w:rsidR="002B60F6" w:rsidRPr="00E53E52" w:rsidRDefault="002B60F6" w:rsidP="001D1D6E">
            <w:pPr>
              <w:pStyle w:val="TextFlush"/>
              <w:spacing w:before="40" w:after="120" w:line="276" w:lineRule="auto"/>
              <w:jc w:val="right"/>
              <w:rPr>
                <w:sz w:val="22"/>
                <w:szCs w:val="22"/>
              </w:rPr>
            </w:pPr>
            <w:r w:rsidRPr="00E53E52">
              <w:rPr>
                <w:sz w:val="22"/>
                <w:szCs w:val="22"/>
              </w:rPr>
              <w:t>582</w:t>
            </w:r>
          </w:p>
        </w:tc>
      </w:tr>
      <w:tr w:rsidR="002B60F6" w:rsidRPr="00E53E52" w14:paraId="08882BA9" w14:textId="77777777" w:rsidTr="00DE3DDF">
        <w:trPr>
          <w:trHeight w:val="330"/>
          <w:jc w:val="center"/>
        </w:trPr>
        <w:tc>
          <w:tcPr>
            <w:tcW w:w="2195" w:type="dxa"/>
            <w:tcBorders>
              <w:bottom w:val="single" w:sz="4" w:space="0" w:color="auto"/>
            </w:tcBorders>
            <w:shd w:val="clear" w:color="auto" w:fill="D9D9D9" w:themeFill="background1" w:themeFillShade="D9"/>
            <w:vAlign w:val="center"/>
            <w:hideMark/>
          </w:tcPr>
          <w:p w14:paraId="4700ED29" w14:textId="77777777" w:rsidR="002B60F6" w:rsidRPr="00E53E52" w:rsidRDefault="002B60F6" w:rsidP="001D1D6E">
            <w:pPr>
              <w:pStyle w:val="TextFlush"/>
              <w:spacing w:before="40" w:after="120" w:line="276" w:lineRule="auto"/>
              <w:rPr>
                <w:sz w:val="22"/>
                <w:szCs w:val="22"/>
              </w:rPr>
            </w:pPr>
            <w:r w:rsidRPr="00E53E52">
              <w:rPr>
                <w:rFonts w:eastAsia="Calibri"/>
                <w:sz w:val="22"/>
                <w:szCs w:val="22"/>
              </w:rPr>
              <w:t>Otherwise</w:t>
            </w:r>
            <w:r w:rsidRPr="00E53E52">
              <w:rPr>
                <w:sz w:val="22"/>
                <w:szCs w:val="22"/>
              </w:rPr>
              <w:t xml:space="preserve"> </w:t>
            </w:r>
            <w:r w:rsidRPr="00E53E52">
              <w:rPr>
                <w:rFonts w:eastAsia="Calibri"/>
                <w:sz w:val="22"/>
                <w:szCs w:val="22"/>
              </w:rPr>
              <w:t>Resolved</w:t>
            </w:r>
          </w:p>
        </w:tc>
        <w:tc>
          <w:tcPr>
            <w:tcW w:w="859" w:type="dxa"/>
            <w:tcBorders>
              <w:bottom w:val="single" w:sz="4" w:space="0" w:color="auto"/>
            </w:tcBorders>
            <w:shd w:val="clear" w:color="auto" w:fill="auto"/>
            <w:noWrap/>
            <w:vAlign w:val="center"/>
            <w:hideMark/>
          </w:tcPr>
          <w:p w14:paraId="09972B12" w14:textId="77777777" w:rsidR="002B60F6" w:rsidRPr="00E53E52" w:rsidRDefault="002B60F6" w:rsidP="001D1D6E">
            <w:pPr>
              <w:pStyle w:val="TextFlush"/>
              <w:spacing w:before="40" w:after="120" w:line="276" w:lineRule="auto"/>
              <w:jc w:val="right"/>
              <w:rPr>
                <w:sz w:val="22"/>
                <w:szCs w:val="22"/>
              </w:rPr>
            </w:pPr>
            <w:r w:rsidRPr="00E53E52">
              <w:rPr>
                <w:sz w:val="22"/>
                <w:szCs w:val="22"/>
              </w:rPr>
              <w:t>40,960</w:t>
            </w:r>
          </w:p>
        </w:tc>
        <w:tc>
          <w:tcPr>
            <w:tcW w:w="859" w:type="dxa"/>
            <w:tcBorders>
              <w:bottom w:val="single" w:sz="4" w:space="0" w:color="auto"/>
            </w:tcBorders>
            <w:shd w:val="clear" w:color="auto" w:fill="auto"/>
            <w:noWrap/>
            <w:vAlign w:val="center"/>
            <w:hideMark/>
          </w:tcPr>
          <w:p w14:paraId="075BF79B" w14:textId="77777777" w:rsidR="002B60F6" w:rsidRPr="00E53E52" w:rsidRDefault="002B60F6" w:rsidP="001D1D6E">
            <w:pPr>
              <w:pStyle w:val="TextFlush"/>
              <w:spacing w:before="40" w:after="120" w:line="276" w:lineRule="auto"/>
              <w:jc w:val="right"/>
              <w:rPr>
                <w:sz w:val="22"/>
                <w:szCs w:val="22"/>
              </w:rPr>
            </w:pPr>
            <w:r w:rsidRPr="00E53E52">
              <w:rPr>
                <w:sz w:val="22"/>
                <w:szCs w:val="22"/>
              </w:rPr>
              <w:t>10,780</w:t>
            </w:r>
          </w:p>
        </w:tc>
        <w:tc>
          <w:tcPr>
            <w:tcW w:w="859" w:type="dxa"/>
            <w:tcBorders>
              <w:bottom w:val="single" w:sz="4" w:space="0" w:color="auto"/>
            </w:tcBorders>
            <w:shd w:val="clear" w:color="auto" w:fill="auto"/>
            <w:noWrap/>
            <w:vAlign w:val="center"/>
            <w:hideMark/>
          </w:tcPr>
          <w:p w14:paraId="6E36B346" w14:textId="77777777" w:rsidR="002B60F6" w:rsidRPr="00E53E52" w:rsidRDefault="002B60F6" w:rsidP="001D1D6E">
            <w:pPr>
              <w:pStyle w:val="TextFlush"/>
              <w:spacing w:before="40" w:after="120" w:line="276" w:lineRule="auto"/>
              <w:jc w:val="right"/>
              <w:rPr>
                <w:sz w:val="22"/>
                <w:szCs w:val="22"/>
              </w:rPr>
            </w:pPr>
            <w:r w:rsidRPr="00E53E52">
              <w:rPr>
                <w:sz w:val="22"/>
                <w:szCs w:val="22"/>
              </w:rPr>
              <w:t>1,677</w:t>
            </w:r>
          </w:p>
        </w:tc>
        <w:tc>
          <w:tcPr>
            <w:tcW w:w="859" w:type="dxa"/>
            <w:tcBorders>
              <w:bottom w:val="single" w:sz="4" w:space="0" w:color="auto"/>
            </w:tcBorders>
            <w:shd w:val="clear" w:color="auto" w:fill="auto"/>
            <w:noWrap/>
            <w:vAlign w:val="center"/>
            <w:hideMark/>
          </w:tcPr>
          <w:p w14:paraId="43886696" w14:textId="77777777" w:rsidR="002B60F6" w:rsidRPr="00E53E52" w:rsidRDefault="002B60F6" w:rsidP="001D1D6E">
            <w:pPr>
              <w:pStyle w:val="TextFlush"/>
              <w:spacing w:before="40" w:after="120" w:line="276" w:lineRule="auto"/>
              <w:jc w:val="right"/>
              <w:rPr>
                <w:sz w:val="22"/>
                <w:szCs w:val="22"/>
              </w:rPr>
            </w:pPr>
            <w:r w:rsidRPr="00E53E52">
              <w:rPr>
                <w:sz w:val="22"/>
                <w:szCs w:val="22"/>
              </w:rPr>
              <w:t>1,318</w:t>
            </w:r>
          </w:p>
        </w:tc>
        <w:tc>
          <w:tcPr>
            <w:tcW w:w="849" w:type="dxa"/>
            <w:tcBorders>
              <w:bottom w:val="single" w:sz="4" w:space="0" w:color="auto"/>
            </w:tcBorders>
            <w:shd w:val="clear" w:color="auto" w:fill="auto"/>
            <w:noWrap/>
            <w:vAlign w:val="center"/>
            <w:hideMark/>
          </w:tcPr>
          <w:p w14:paraId="62D46088" w14:textId="77777777" w:rsidR="002B60F6" w:rsidRPr="00E53E52" w:rsidRDefault="002B60F6" w:rsidP="001D1D6E">
            <w:pPr>
              <w:pStyle w:val="TextFlush"/>
              <w:spacing w:before="40" w:after="120" w:line="276" w:lineRule="auto"/>
              <w:jc w:val="right"/>
              <w:rPr>
                <w:sz w:val="22"/>
                <w:szCs w:val="22"/>
              </w:rPr>
            </w:pPr>
            <w:r w:rsidRPr="00E53E52">
              <w:rPr>
                <w:sz w:val="22"/>
                <w:szCs w:val="22"/>
              </w:rPr>
              <w:t>2,008</w:t>
            </w:r>
          </w:p>
        </w:tc>
      </w:tr>
    </w:tbl>
    <w:p w14:paraId="6AFF953C" w14:textId="77777777" w:rsidR="002B60F6" w:rsidRPr="00E53E52" w:rsidRDefault="002B60F6" w:rsidP="001D1D6E">
      <w:pPr>
        <w:pStyle w:val="SourceLine"/>
        <w:spacing w:before="80" w:after="120" w:line="276" w:lineRule="auto"/>
        <w:rPr>
          <w:szCs w:val="18"/>
        </w:rPr>
      </w:pPr>
      <w:r w:rsidRPr="00E53E52">
        <w:rPr>
          <w:szCs w:val="18"/>
        </w:rPr>
        <w:t>Source: USCIS Refugees, Asylum and Parole System,</w:t>
      </w:r>
      <w:r w:rsidRPr="00E53E52">
        <w:rPr>
          <w:szCs w:val="18"/>
        </w:rPr>
        <w:br/>
        <w:t>Asylum Office Workload by Fiscal Year, FY 1991–2015.</w:t>
      </w:r>
    </w:p>
    <w:p w14:paraId="6A0D0A64" w14:textId="3F40B327" w:rsidR="002B60F6" w:rsidRPr="00E53E52" w:rsidRDefault="002B60F6" w:rsidP="0036367F">
      <w:pPr>
        <w:pStyle w:val="TextParagraph"/>
        <w:spacing w:after="120" w:line="276" w:lineRule="auto"/>
        <w:ind w:firstLine="720"/>
        <w:rPr>
          <w:sz w:val="22"/>
          <w:szCs w:val="22"/>
        </w:rPr>
      </w:pPr>
      <w:r w:rsidRPr="00E53E52">
        <w:rPr>
          <w:sz w:val="22"/>
          <w:szCs w:val="22"/>
        </w:rPr>
        <w:t>The next set of figures reports on asylum claims decided by immigration judges. Figure 2.5 shows the outcomes in cases that started with an affirmative application and then, after the Asylum Office did not grant asylum, were referred to immigration court. For 2015, for example, immigration judges granted 4,833 asylum claims and denied 1,185 claims. Looking only at the cases that were resolved by a decision to grant or to deny yields an apparent grant rate of 80 percent, but note this percentage exaggerates the rate at which the immigration court differed from the USCIS asylum officer</w:t>
      </w:r>
      <w:r w:rsidR="00C909C4" w:rsidRPr="00E53E52">
        <w:rPr>
          <w:sz w:val="22"/>
          <w:szCs w:val="22"/>
        </w:rPr>
        <w:t>’</w:t>
      </w:r>
      <w:r w:rsidRPr="00E53E52">
        <w:rPr>
          <w:sz w:val="22"/>
          <w:szCs w:val="22"/>
        </w:rPr>
        <w:t>s prior decision on the same individual</w:t>
      </w:r>
      <w:r w:rsidR="00C909C4" w:rsidRPr="00E53E52">
        <w:rPr>
          <w:sz w:val="22"/>
          <w:szCs w:val="22"/>
        </w:rPr>
        <w:t>’</w:t>
      </w:r>
      <w:r w:rsidRPr="00E53E52">
        <w:rPr>
          <w:sz w:val="22"/>
          <w:szCs w:val="22"/>
        </w:rPr>
        <w:t xml:space="preserve">s affirmative application. Figure 2.5 also shows that an additional 11,355 cases were otherwise resolved in 2015, such as by withdrawal, abandonment, the grant of some </w:t>
      </w:r>
      <w:r w:rsidRPr="00E53E52">
        <w:rPr>
          <w:sz w:val="22"/>
          <w:szCs w:val="22"/>
        </w:rPr>
        <w:lastRenderedPageBreak/>
        <w:t>other type of relief, or change of venue. Of all asylum cases that reached a decision in 2015, 27.8 percent were grants. Over half of affirmative asylum claims referred to immigration court by asylum officers were not resolved on the merits.</w:t>
      </w:r>
    </w:p>
    <w:p w14:paraId="1154983D" w14:textId="7BA218DB" w:rsidR="002B60F6" w:rsidRPr="00E53E52" w:rsidRDefault="002B60F6" w:rsidP="0036367F">
      <w:pPr>
        <w:pStyle w:val="TextHeadCentered"/>
        <w:spacing w:after="120" w:line="276" w:lineRule="auto"/>
        <w:rPr>
          <w:b/>
          <w:sz w:val="22"/>
          <w:szCs w:val="22"/>
        </w:rPr>
      </w:pPr>
      <w:r w:rsidRPr="00E53E52">
        <w:rPr>
          <w:b/>
          <w:sz w:val="22"/>
          <w:szCs w:val="22"/>
        </w:rPr>
        <w:t>Figure 2.5</w:t>
      </w:r>
      <w:r w:rsidRPr="00E53E52">
        <w:rPr>
          <w:b/>
          <w:sz w:val="22"/>
          <w:szCs w:val="22"/>
        </w:rPr>
        <w:br/>
        <w:t>Immigration Court Grants and Denials of Affirmative Asylum Claims Referred by Asylum Officers, 2011–2015</w:t>
      </w:r>
    </w:p>
    <w:p w14:paraId="756123F0" w14:textId="77777777" w:rsidR="002B60F6" w:rsidRPr="00E53E52" w:rsidRDefault="002B60F6" w:rsidP="001D1D6E">
      <w:pPr>
        <w:pStyle w:val="ImageSpace"/>
        <w:spacing w:before="120" w:after="120" w:line="276" w:lineRule="auto"/>
        <w:rPr>
          <w:sz w:val="22"/>
          <w:szCs w:val="22"/>
        </w:rPr>
      </w:pPr>
      <w:r w:rsidRPr="00E53E52">
        <w:rPr>
          <w:noProof/>
          <w:sz w:val="22"/>
          <w:szCs w:val="22"/>
        </w:rPr>
        <w:drawing>
          <wp:inline distT="0" distB="0" distL="0" distR="0" wp14:anchorId="24676136" wp14:editId="2D092A43">
            <wp:extent cx="4380864" cy="2845558"/>
            <wp:effectExtent l="0" t="0" r="1270" b="0"/>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8.6.tif"/>
                    <pic:cNvPicPr/>
                  </pic:nvPicPr>
                  <pic:blipFill rotWithShape="1">
                    <a:blip r:embed="rId24" cstate="print">
                      <a:grayscl/>
                      <a:extLst>
                        <a:ext uri="{28A0092B-C50C-407E-A947-70E740481C1C}">
                          <a14:useLocalDpi xmlns:a14="http://schemas.microsoft.com/office/drawing/2010/main" val="0"/>
                        </a:ext>
                      </a:extLst>
                    </a:blip>
                    <a:srcRect t="4387" b="4160"/>
                    <a:stretch/>
                  </pic:blipFill>
                  <pic:spPr bwMode="auto">
                    <a:xfrm>
                      <a:off x="0" y="0"/>
                      <a:ext cx="4382409" cy="2846561"/>
                    </a:xfrm>
                    <a:prstGeom prst="rect">
                      <a:avLst/>
                    </a:prstGeom>
                    <a:ln>
                      <a:noFill/>
                    </a:ln>
                    <a:extLst>
                      <a:ext uri="{53640926-AAD7-44D8-BBD7-CCE9431645EC}">
                        <a14:shadowObscured xmlns:a14="http://schemas.microsoft.com/office/drawing/2010/main"/>
                      </a:ext>
                    </a:extLst>
                  </pic:spPr>
                </pic:pic>
              </a:graphicData>
            </a:graphic>
          </wp:inline>
        </w:drawing>
      </w:r>
    </w:p>
    <w:p w14:paraId="2AACAED7" w14:textId="77777777" w:rsidR="002B60F6" w:rsidRPr="00E53E52" w:rsidRDefault="002B60F6" w:rsidP="001D1D6E">
      <w:pPr>
        <w:pStyle w:val="SourceLine"/>
        <w:spacing w:before="40" w:after="120" w:line="276" w:lineRule="auto"/>
        <w:rPr>
          <w:spacing w:val="-2"/>
          <w:w w:val="115"/>
          <w:szCs w:val="18"/>
        </w:rPr>
      </w:pPr>
      <w:r w:rsidRPr="00E53E52">
        <w:rPr>
          <w:w w:val="115"/>
          <w:szCs w:val="18"/>
        </w:rPr>
        <w:t>S</w:t>
      </w:r>
      <w:r w:rsidRPr="00E53E52">
        <w:rPr>
          <w:spacing w:val="-2"/>
          <w:w w:val="115"/>
          <w:szCs w:val="18"/>
        </w:rPr>
        <w:t>o</w:t>
      </w:r>
      <w:r w:rsidRPr="00E53E52">
        <w:rPr>
          <w:w w:val="115"/>
          <w:szCs w:val="18"/>
        </w:rPr>
        <w:t>urce</w:t>
      </w:r>
      <w:r w:rsidRPr="00E53E52">
        <w:rPr>
          <w:spacing w:val="-2"/>
          <w:w w:val="115"/>
          <w:szCs w:val="18"/>
        </w:rPr>
        <w:t>:</w:t>
      </w:r>
      <w:r w:rsidRPr="00E53E52">
        <w:rPr>
          <w:spacing w:val="11"/>
          <w:w w:val="115"/>
          <w:szCs w:val="18"/>
        </w:rPr>
        <w:t xml:space="preserve"> </w:t>
      </w:r>
      <w:r w:rsidRPr="00E53E52">
        <w:rPr>
          <w:w w:val="115"/>
          <w:szCs w:val="18"/>
        </w:rPr>
        <w:t>E</w:t>
      </w:r>
      <w:r w:rsidRPr="00E53E52">
        <w:rPr>
          <w:spacing w:val="-2"/>
          <w:w w:val="115"/>
          <w:szCs w:val="18"/>
        </w:rPr>
        <w:t>xecu</w:t>
      </w:r>
      <w:r w:rsidRPr="00E53E52">
        <w:rPr>
          <w:w w:val="115"/>
          <w:szCs w:val="18"/>
        </w:rPr>
        <w:t>ti</w:t>
      </w:r>
      <w:r w:rsidRPr="00E53E52">
        <w:rPr>
          <w:spacing w:val="-2"/>
          <w:w w:val="115"/>
          <w:szCs w:val="18"/>
        </w:rPr>
        <w:t>ve</w:t>
      </w:r>
      <w:r w:rsidRPr="00E53E52">
        <w:rPr>
          <w:spacing w:val="10"/>
          <w:w w:val="115"/>
          <w:szCs w:val="18"/>
        </w:rPr>
        <w:t xml:space="preserve"> </w:t>
      </w:r>
      <w:r w:rsidRPr="00E53E52">
        <w:rPr>
          <w:spacing w:val="-2"/>
          <w:w w:val="115"/>
          <w:szCs w:val="18"/>
        </w:rPr>
        <w:t>Off</w:t>
      </w:r>
      <w:r w:rsidRPr="00E53E52">
        <w:rPr>
          <w:w w:val="115"/>
          <w:szCs w:val="18"/>
        </w:rPr>
        <w:t>i</w:t>
      </w:r>
      <w:r w:rsidRPr="00E53E52">
        <w:rPr>
          <w:spacing w:val="-2"/>
          <w:w w:val="115"/>
          <w:szCs w:val="18"/>
        </w:rPr>
        <w:t>ce</w:t>
      </w:r>
      <w:r w:rsidRPr="00E53E52">
        <w:rPr>
          <w:spacing w:val="12"/>
          <w:w w:val="115"/>
          <w:szCs w:val="18"/>
        </w:rPr>
        <w:t xml:space="preserve"> </w:t>
      </w:r>
      <w:r w:rsidRPr="00E53E52">
        <w:rPr>
          <w:spacing w:val="-2"/>
          <w:w w:val="115"/>
          <w:szCs w:val="18"/>
        </w:rPr>
        <w:t>fo</w:t>
      </w:r>
      <w:r w:rsidRPr="00E53E52">
        <w:rPr>
          <w:w w:val="115"/>
          <w:szCs w:val="18"/>
        </w:rPr>
        <w:t>r</w:t>
      </w:r>
      <w:r w:rsidRPr="00E53E52">
        <w:rPr>
          <w:spacing w:val="8"/>
          <w:w w:val="115"/>
          <w:szCs w:val="18"/>
        </w:rPr>
        <w:t xml:space="preserve"> </w:t>
      </w:r>
      <w:r w:rsidRPr="00E53E52">
        <w:rPr>
          <w:w w:val="115"/>
          <w:szCs w:val="18"/>
        </w:rPr>
        <w:t>Immigrati</w:t>
      </w:r>
      <w:r w:rsidRPr="00E53E52">
        <w:rPr>
          <w:spacing w:val="-2"/>
          <w:w w:val="115"/>
          <w:szCs w:val="18"/>
        </w:rPr>
        <w:t>o</w:t>
      </w:r>
      <w:r w:rsidRPr="00E53E52">
        <w:rPr>
          <w:w w:val="115"/>
          <w:szCs w:val="18"/>
        </w:rPr>
        <w:t>n</w:t>
      </w:r>
      <w:r w:rsidRPr="00E53E52">
        <w:rPr>
          <w:spacing w:val="12"/>
          <w:w w:val="115"/>
          <w:szCs w:val="18"/>
        </w:rPr>
        <w:t xml:space="preserve"> </w:t>
      </w:r>
      <w:r w:rsidRPr="00E53E52">
        <w:rPr>
          <w:spacing w:val="-2"/>
          <w:w w:val="115"/>
          <w:szCs w:val="18"/>
        </w:rPr>
        <w:t>Review,</w:t>
      </w:r>
      <w:r w:rsidRPr="00E53E52">
        <w:rPr>
          <w:spacing w:val="-2"/>
          <w:w w:val="115"/>
          <w:szCs w:val="18"/>
        </w:rPr>
        <w:br/>
        <w:t>Office of Planning, Analysis, and Statistics,</w:t>
      </w:r>
      <w:r w:rsidRPr="00E53E52">
        <w:rPr>
          <w:spacing w:val="-2"/>
          <w:w w:val="115"/>
          <w:szCs w:val="18"/>
        </w:rPr>
        <w:br/>
        <w:t xml:space="preserve">Asylum Completions by Asylum Type and Disposition, FY 2011-2015. </w:t>
      </w:r>
    </w:p>
    <w:p w14:paraId="3DBC434D" w14:textId="51AAC197" w:rsidR="00204DC1" w:rsidRPr="00E53E52" w:rsidRDefault="002B60F6" w:rsidP="0036367F">
      <w:pPr>
        <w:pStyle w:val="TextParagraph"/>
        <w:spacing w:after="120" w:line="276" w:lineRule="auto"/>
        <w:ind w:firstLine="720"/>
        <w:rPr>
          <w:sz w:val="22"/>
          <w:szCs w:val="22"/>
        </w:rPr>
      </w:pPr>
      <w:r w:rsidRPr="00E53E52">
        <w:rPr>
          <w:sz w:val="22"/>
          <w:szCs w:val="22"/>
        </w:rPr>
        <w:t>Figure 2.6 shows the outcomes in cases that started defensively in immigration court without a prior affirmative application to USCIS. In 2015, asylum grants in these cases numbered 3,413 and denials numbered 7,648. The grant rate was 30.9 percent of the cases that resulted in grants or denials, but an additional 13,181 cases were otherwise resolved, such as by withdrawal, abandonment, the grant of some other type of relief, or change of venue. The grant rate was 14.1 percent of all the defensive asylum claims that reached a decision in 2015.</w:t>
      </w:r>
    </w:p>
    <w:p w14:paraId="1ED1AF39" w14:textId="77777777" w:rsidR="00204DC1" w:rsidRPr="00E53E52" w:rsidRDefault="00204DC1">
      <w:pPr>
        <w:rPr>
          <w:rFonts w:ascii="Century Schoolbook" w:eastAsia="Times New Roman" w:hAnsi="Century Schoolbook" w:cs="Times New Roman"/>
        </w:rPr>
      </w:pPr>
      <w:r w:rsidRPr="00E53E52">
        <w:br w:type="page"/>
      </w:r>
    </w:p>
    <w:p w14:paraId="7A6EA89A" w14:textId="77777777" w:rsidR="002B60F6" w:rsidRPr="00E53E52" w:rsidRDefault="002B60F6" w:rsidP="0036367F">
      <w:pPr>
        <w:pStyle w:val="TextHeadCentered"/>
        <w:spacing w:after="120" w:line="276" w:lineRule="auto"/>
        <w:rPr>
          <w:b/>
          <w:sz w:val="22"/>
          <w:szCs w:val="22"/>
        </w:rPr>
      </w:pPr>
      <w:r w:rsidRPr="00E53E52">
        <w:rPr>
          <w:b/>
          <w:sz w:val="22"/>
          <w:szCs w:val="22"/>
        </w:rPr>
        <w:lastRenderedPageBreak/>
        <w:t>Figure 2.6</w:t>
      </w:r>
      <w:r w:rsidRPr="00E53E52">
        <w:rPr>
          <w:b/>
          <w:sz w:val="22"/>
          <w:szCs w:val="22"/>
        </w:rPr>
        <w:br/>
        <w:t>Immigration Court Grants and Denials of Defensive Claims First Filed in Immigration Court, 2011–2015</w:t>
      </w:r>
    </w:p>
    <w:p w14:paraId="02470EAA" w14:textId="77777777" w:rsidR="002B60F6" w:rsidRPr="00E53E52" w:rsidRDefault="002B60F6" w:rsidP="001D1D6E">
      <w:pPr>
        <w:pStyle w:val="ImageSpace"/>
        <w:spacing w:before="120" w:after="120" w:line="276" w:lineRule="auto"/>
        <w:rPr>
          <w:sz w:val="22"/>
          <w:szCs w:val="22"/>
        </w:rPr>
      </w:pPr>
      <w:r w:rsidRPr="00E53E52">
        <w:rPr>
          <w:noProof/>
          <w:sz w:val="22"/>
          <w:szCs w:val="22"/>
        </w:rPr>
        <w:drawing>
          <wp:inline distT="0" distB="0" distL="0" distR="0" wp14:anchorId="53A7176B" wp14:editId="4C3A3DDC">
            <wp:extent cx="4428396" cy="2845558"/>
            <wp:effectExtent l="0" t="0" r="0" b="0"/>
            <wp:docPr id="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8.7.tif"/>
                    <pic:cNvPicPr/>
                  </pic:nvPicPr>
                  <pic:blipFill rotWithShape="1">
                    <a:blip r:embed="rId25" cstate="print">
                      <a:grayscl/>
                      <a:extLst>
                        <a:ext uri="{28A0092B-C50C-407E-A947-70E740481C1C}">
                          <a14:useLocalDpi xmlns:a14="http://schemas.microsoft.com/office/drawing/2010/main" val="0"/>
                        </a:ext>
                      </a:extLst>
                    </a:blip>
                    <a:srcRect t="4606" b="3935"/>
                    <a:stretch/>
                  </pic:blipFill>
                  <pic:spPr bwMode="auto">
                    <a:xfrm>
                      <a:off x="0" y="0"/>
                      <a:ext cx="4429120" cy="2846023"/>
                    </a:xfrm>
                    <a:prstGeom prst="rect">
                      <a:avLst/>
                    </a:prstGeom>
                    <a:ln>
                      <a:noFill/>
                    </a:ln>
                    <a:extLst>
                      <a:ext uri="{53640926-AAD7-44D8-BBD7-CCE9431645EC}">
                        <a14:shadowObscured xmlns:a14="http://schemas.microsoft.com/office/drawing/2010/main"/>
                      </a:ext>
                    </a:extLst>
                  </pic:spPr>
                </pic:pic>
              </a:graphicData>
            </a:graphic>
          </wp:inline>
        </w:drawing>
      </w:r>
    </w:p>
    <w:p w14:paraId="7B0A46D4" w14:textId="77777777" w:rsidR="002B60F6" w:rsidRPr="00E53E52" w:rsidRDefault="002B60F6" w:rsidP="001D1D6E">
      <w:pPr>
        <w:pStyle w:val="SourceLine"/>
        <w:spacing w:before="40" w:after="120" w:line="276" w:lineRule="auto"/>
        <w:rPr>
          <w:w w:val="115"/>
          <w:szCs w:val="18"/>
        </w:rPr>
      </w:pPr>
      <w:r w:rsidRPr="00E53E52">
        <w:rPr>
          <w:w w:val="115"/>
          <w:szCs w:val="18"/>
        </w:rPr>
        <w:t>Source:</w:t>
      </w:r>
      <w:r w:rsidRPr="00E53E52">
        <w:rPr>
          <w:spacing w:val="11"/>
          <w:w w:val="115"/>
          <w:szCs w:val="18"/>
        </w:rPr>
        <w:t xml:space="preserve"> </w:t>
      </w:r>
      <w:r w:rsidRPr="00E53E52">
        <w:rPr>
          <w:w w:val="115"/>
          <w:szCs w:val="18"/>
        </w:rPr>
        <w:t>Executive</w:t>
      </w:r>
      <w:r w:rsidRPr="00E53E52">
        <w:rPr>
          <w:spacing w:val="10"/>
          <w:w w:val="115"/>
          <w:szCs w:val="18"/>
        </w:rPr>
        <w:t xml:space="preserve"> </w:t>
      </w:r>
      <w:r w:rsidRPr="00E53E52">
        <w:rPr>
          <w:w w:val="115"/>
          <w:szCs w:val="18"/>
        </w:rPr>
        <w:t>Office</w:t>
      </w:r>
      <w:r w:rsidRPr="00E53E52">
        <w:rPr>
          <w:spacing w:val="12"/>
          <w:w w:val="115"/>
          <w:szCs w:val="18"/>
        </w:rPr>
        <w:t xml:space="preserve"> </w:t>
      </w:r>
      <w:r w:rsidRPr="00E53E52">
        <w:rPr>
          <w:w w:val="115"/>
          <w:szCs w:val="18"/>
        </w:rPr>
        <w:t>for</w:t>
      </w:r>
      <w:r w:rsidRPr="00E53E52">
        <w:rPr>
          <w:spacing w:val="8"/>
          <w:w w:val="115"/>
          <w:szCs w:val="18"/>
        </w:rPr>
        <w:t xml:space="preserve"> </w:t>
      </w:r>
      <w:r w:rsidRPr="00E53E52">
        <w:rPr>
          <w:w w:val="115"/>
          <w:szCs w:val="18"/>
        </w:rPr>
        <w:t>Immigration</w:t>
      </w:r>
      <w:r w:rsidRPr="00E53E52">
        <w:rPr>
          <w:spacing w:val="12"/>
          <w:w w:val="115"/>
          <w:szCs w:val="18"/>
        </w:rPr>
        <w:t xml:space="preserve"> </w:t>
      </w:r>
      <w:r w:rsidRPr="00E53E52">
        <w:rPr>
          <w:w w:val="115"/>
          <w:szCs w:val="18"/>
        </w:rPr>
        <w:t>Review,</w:t>
      </w:r>
      <w:r w:rsidRPr="00E53E52">
        <w:rPr>
          <w:w w:val="115"/>
          <w:szCs w:val="18"/>
        </w:rPr>
        <w:br/>
        <w:t>Office of Planning, Analysis, and Statistics,</w:t>
      </w:r>
      <w:r w:rsidRPr="00E53E52">
        <w:rPr>
          <w:w w:val="115"/>
          <w:szCs w:val="18"/>
        </w:rPr>
        <w:br/>
        <w:t>Asylum Completions by Asylum Type and Disposition, FY 2011-2015.</w:t>
      </w:r>
    </w:p>
    <w:p w14:paraId="544C2043" w14:textId="67360382" w:rsidR="002B60F6" w:rsidRPr="00E53E52" w:rsidRDefault="002B60F6" w:rsidP="0036367F">
      <w:pPr>
        <w:pStyle w:val="TextParagraph"/>
        <w:spacing w:after="120" w:line="276" w:lineRule="auto"/>
        <w:ind w:firstLine="720"/>
        <w:rPr>
          <w:sz w:val="22"/>
          <w:szCs w:val="22"/>
        </w:rPr>
      </w:pPr>
      <w:r w:rsidRPr="00E53E52">
        <w:rPr>
          <w:sz w:val="22"/>
          <w:szCs w:val="22"/>
        </w:rPr>
        <w:t>Figure 2.7 shows outcomes in asylum applications in immigration court. These applications include both cases referred to immigration court by USCIS asylum officers and cases filed initially in immigration court. Not included are cases in which USCIS asylum officers already granted asylum on the basis of an affirmative application.</w:t>
      </w:r>
    </w:p>
    <w:p w14:paraId="1E317AFB" w14:textId="38DA5840" w:rsidR="00204DC1" w:rsidRPr="00E53E52" w:rsidRDefault="00204DC1">
      <w:pPr>
        <w:rPr>
          <w:rFonts w:ascii="Century Schoolbook" w:eastAsia="Times New Roman" w:hAnsi="Century Schoolbook" w:cs="Times New Roman"/>
        </w:rPr>
      </w:pPr>
      <w:r w:rsidRPr="00E53E52">
        <w:br w:type="page"/>
      </w:r>
    </w:p>
    <w:p w14:paraId="077E94D1" w14:textId="77777777" w:rsidR="002B60F6" w:rsidRPr="00E53E52" w:rsidRDefault="002B60F6" w:rsidP="0036367F">
      <w:pPr>
        <w:pStyle w:val="TextHeadCentered"/>
        <w:spacing w:after="120" w:line="276" w:lineRule="auto"/>
        <w:rPr>
          <w:b/>
          <w:sz w:val="22"/>
          <w:szCs w:val="22"/>
        </w:rPr>
      </w:pPr>
      <w:r w:rsidRPr="00E53E52">
        <w:rPr>
          <w:b/>
          <w:sz w:val="22"/>
          <w:szCs w:val="22"/>
        </w:rPr>
        <w:lastRenderedPageBreak/>
        <w:t>Figure 2.7</w:t>
      </w:r>
      <w:r w:rsidRPr="00E53E52">
        <w:rPr>
          <w:b/>
          <w:sz w:val="22"/>
          <w:szCs w:val="22"/>
        </w:rPr>
        <w:br/>
        <w:t>Results in All Asylum Cases Filed with</w:t>
      </w:r>
      <w:r w:rsidRPr="00E53E52">
        <w:rPr>
          <w:b/>
          <w:sz w:val="22"/>
          <w:szCs w:val="22"/>
        </w:rPr>
        <w:br/>
        <w:t>Immigration Courts, 2006</w:t>
      </w:r>
      <w:r w:rsidRPr="00E53E52">
        <w:rPr>
          <w:sz w:val="22"/>
          <w:szCs w:val="22"/>
        </w:rPr>
        <w:t>–</w:t>
      </w:r>
      <w:r w:rsidRPr="00E53E52">
        <w:rPr>
          <w:b/>
          <w:sz w:val="22"/>
          <w:szCs w:val="22"/>
        </w:rPr>
        <w:t>2014</w:t>
      </w:r>
    </w:p>
    <w:p w14:paraId="1E1FCDAD" w14:textId="77777777" w:rsidR="002B60F6" w:rsidRPr="00E53E52" w:rsidRDefault="002B60F6" w:rsidP="001D1D6E">
      <w:pPr>
        <w:pStyle w:val="Image"/>
        <w:spacing w:before="120" w:after="120"/>
        <w:rPr>
          <w:sz w:val="22"/>
          <w:szCs w:val="22"/>
        </w:rPr>
      </w:pPr>
      <w:r w:rsidRPr="00E53E52">
        <w:rPr>
          <w:sz w:val="22"/>
          <w:szCs w:val="22"/>
        </w:rPr>
        <w:drawing>
          <wp:inline distT="0" distB="0" distL="0" distR="0" wp14:anchorId="71640087" wp14:editId="2475328E">
            <wp:extent cx="4360460" cy="3291840"/>
            <wp:effectExtent l="0" t="0" r="2540" b="3810"/>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8.8.tif"/>
                    <pic:cNvPicPr/>
                  </pic:nvPicPr>
                  <pic:blipFill>
                    <a:blip r:embed="rId26" cstate="print">
                      <a:grayscl/>
                      <a:extLst>
                        <a:ext uri="{28A0092B-C50C-407E-A947-70E740481C1C}">
                          <a14:useLocalDpi xmlns:a14="http://schemas.microsoft.com/office/drawing/2010/main" val="0"/>
                        </a:ext>
                      </a:extLst>
                    </a:blip>
                    <a:stretch>
                      <a:fillRect/>
                    </a:stretch>
                  </pic:blipFill>
                  <pic:spPr>
                    <a:xfrm>
                      <a:off x="0" y="0"/>
                      <a:ext cx="4361235" cy="3292425"/>
                    </a:xfrm>
                    <a:prstGeom prst="rect">
                      <a:avLst/>
                    </a:prstGeom>
                  </pic:spPr>
                </pic:pic>
              </a:graphicData>
            </a:graphic>
          </wp:inline>
        </w:drawing>
      </w:r>
    </w:p>
    <w:p w14:paraId="45221EB8" w14:textId="77777777" w:rsidR="002B60F6" w:rsidRPr="00E53E52" w:rsidRDefault="002B60F6" w:rsidP="001D1D6E">
      <w:pPr>
        <w:pStyle w:val="SourceLine"/>
        <w:spacing w:before="40" w:after="120" w:line="276" w:lineRule="auto"/>
        <w:rPr>
          <w:szCs w:val="18"/>
        </w:rPr>
      </w:pPr>
      <w:r w:rsidRPr="00E53E52">
        <w:rPr>
          <w:w w:val="115"/>
          <w:szCs w:val="18"/>
        </w:rPr>
        <w:t>S</w:t>
      </w:r>
      <w:r w:rsidRPr="00E53E52">
        <w:rPr>
          <w:spacing w:val="-2"/>
          <w:w w:val="115"/>
          <w:szCs w:val="18"/>
        </w:rPr>
        <w:t>o</w:t>
      </w:r>
      <w:r w:rsidRPr="00E53E52">
        <w:rPr>
          <w:w w:val="115"/>
          <w:szCs w:val="18"/>
        </w:rPr>
        <w:t>ur</w:t>
      </w:r>
      <w:r w:rsidRPr="00E53E52">
        <w:rPr>
          <w:spacing w:val="-2"/>
          <w:w w:val="115"/>
          <w:szCs w:val="18"/>
        </w:rPr>
        <w:t>ce:</w:t>
      </w:r>
      <w:r w:rsidRPr="00E53E52">
        <w:rPr>
          <w:spacing w:val="-5"/>
          <w:w w:val="115"/>
          <w:szCs w:val="18"/>
        </w:rPr>
        <w:t xml:space="preserve"> </w:t>
      </w:r>
      <w:r w:rsidRPr="00E53E52">
        <w:rPr>
          <w:w w:val="115"/>
          <w:szCs w:val="18"/>
        </w:rPr>
        <w:t>E</w:t>
      </w:r>
      <w:r w:rsidRPr="00E53E52">
        <w:rPr>
          <w:spacing w:val="-2"/>
          <w:w w:val="115"/>
          <w:szCs w:val="18"/>
        </w:rPr>
        <w:t>O</w:t>
      </w:r>
      <w:r w:rsidRPr="00E53E52">
        <w:rPr>
          <w:w w:val="115"/>
          <w:szCs w:val="18"/>
        </w:rPr>
        <w:t>I</w:t>
      </w:r>
      <w:r w:rsidRPr="00E53E52">
        <w:rPr>
          <w:spacing w:val="-2"/>
          <w:w w:val="115"/>
          <w:szCs w:val="18"/>
        </w:rPr>
        <w:t>R</w:t>
      </w:r>
      <w:r w:rsidRPr="00E53E52">
        <w:rPr>
          <w:spacing w:val="-5"/>
          <w:w w:val="115"/>
          <w:szCs w:val="18"/>
        </w:rPr>
        <w:t xml:space="preserve"> FY </w:t>
      </w:r>
      <w:r w:rsidRPr="00E53E52">
        <w:rPr>
          <w:w w:val="115"/>
          <w:szCs w:val="18"/>
        </w:rPr>
        <w:t>2014</w:t>
      </w:r>
      <w:r w:rsidRPr="00E53E52">
        <w:rPr>
          <w:spacing w:val="-4"/>
          <w:w w:val="115"/>
          <w:szCs w:val="18"/>
        </w:rPr>
        <w:t xml:space="preserve"> </w:t>
      </w:r>
      <w:r w:rsidRPr="00E53E52">
        <w:rPr>
          <w:w w:val="115"/>
          <w:szCs w:val="18"/>
        </w:rPr>
        <w:t>Statistics</w:t>
      </w:r>
      <w:r w:rsidRPr="00E53E52">
        <w:rPr>
          <w:spacing w:val="-4"/>
          <w:w w:val="115"/>
          <w:szCs w:val="18"/>
        </w:rPr>
        <w:t xml:space="preserve"> </w:t>
      </w:r>
      <w:r w:rsidRPr="00E53E52">
        <w:rPr>
          <w:w w:val="115"/>
          <w:szCs w:val="18"/>
        </w:rPr>
        <w:t>Yearbook, Figure 19;</w:t>
      </w:r>
      <w:r w:rsidRPr="00E53E52">
        <w:rPr>
          <w:w w:val="115"/>
          <w:szCs w:val="18"/>
        </w:rPr>
        <w:br/>
      </w:r>
      <w:r w:rsidRPr="00E53E52">
        <w:rPr>
          <w:spacing w:val="-2"/>
          <w:w w:val="115"/>
          <w:szCs w:val="18"/>
        </w:rPr>
        <w:t>EO</w:t>
      </w:r>
      <w:r w:rsidRPr="00E53E52">
        <w:rPr>
          <w:w w:val="115"/>
          <w:szCs w:val="18"/>
        </w:rPr>
        <w:t>I</w:t>
      </w:r>
      <w:r w:rsidRPr="00E53E52">
        <w:rPr>
          <w:spacing w:val="-2"/>
          <w:w w:val="115"/>
          <w:szCs w:val="18"/>
        </w:rPr>
        <w:t>R</w:t>
      </w:r>
      <w:r w:rsidRPr="00E53E52">
        <w:rPr>
          <w:spacing w:val="12"/>
          <w:w w:val="115"/>
          <w:szCs w:val="18"/>
        </w:rPr>
        <w:t xml:space="preserve"> FY 2010 </w:t>
      </w:r>
      <w:r w:rsidRPr="00E53E52">
        <w:rPr>
          <w:w w:val="115"/>
          <w:szCs w:val="18"/>
        </w:rPr>
        <w:t>Statisti</w:t>
      </w:r>
      <w:r w:rsidRPr="00E53E52">
        <w:rPr>
          <w:spacing w:val="-2"/>
          <w:w w:val="115"/>
          <w:szCs w:val="18"/>
        </w:rPr>
        <w:t>c</w:t>
      </w:r>
      <w:r w:rsidRPr="00E53E52">
        <w:rPr>
          <w:w w:val="115"/>
          <w:szCs w:val="18"/>
        </w:rPr>
        <w:t>al</w:t>
      </w:r>
      <w:r w:rsidRPr="00E53E52">
        <w:rPr>
          <w:spacing w:val="12"/>
          <w:w w:val="115"/>
          <w:szCs w:val="18"/>
        </w:rPr>
        <w:t xml:space="preserve"> </w:t>
      </w:r>
      <w:r w:rsidRPr="00E53E52">
        <w:rPr>
          <w:spacing w:val="-2"/>
          <w:w w:val="115"/>
          <w:szCs w:val="18"/>
        </w:rPr>
        <w:t>Ye</w:t>
      </w:r>
      <w:r w:rsidRPr="00E53E52">
        <w:rPr>
          <w:w w:val="115"/>
          <w:szCs w:val="18"/>
        </w:rPr>
        <w:t>ar</w:t>
      </w:r>
      <w:r w:rsidRPr="00E53E52">
        <w:rPr>
          <w:spacing w:val="11"/>
          <w:w w:val="115"/>
          <w:szCs w:val="18"/>
        </w:rPr>
        <w:t xml:space="preserve"> </w:t>
      </w:r>
      <w:r w:rsidRPr="00E53E52">
        <w:rPr>
          <w:w w:val="115"/>
          <w:szCs w:val="18"/>
        </w:rPr>
        <w:t>Book,</w:t>
      </w:r>
      <w:r w:rsidRPr="00E53E52">
        <w:rPr>
          <w:spacing w:val="11"/>
          <w:w w:val="115"/>
          <w:szCs w:val="18"/>
        </w:rPr>
        <w:t xml:space="preserve"> </w:t>
      </w:r>
      <w:r w:rsidRPr="00E53E52">
        <w:rPr>
          <w:w w:val="115"/>
          <w:szCs w:val="18"/>
        </w:rPr>
        <w:t>Figur</w:t>
      </w:r>
      <w:r w:rsidRPr="00E53E52">
        <w:rPr>
          <w:spacing w:val="-2"/>
          <w:w w:val="115"/>
          <w:szCs w:val="18"/>
        </w:rPr>
        <w:t>e</w:t>
      </w:r>
      <w:r w:rsidRPr="00E53E52">
        <w:rPr>
          <w:spacing w:val="53"/>
          <w:w w:val="112"/>
          <w:szCs w:val="18"/>
        </w:rPr>
        <w:t xml:space="preserve"> </w:t>
      </w:r>
      <w:r w:rsidRPr="00E53E52">
        <w:rPr>
          <w:spacing w:val="-2"/>
          <w:w w:val="115"/>
          <w:szCs w:val="18"/>
        </w:rPr>
        <w:t>19.</w:t>
      </w:r>
    </w:p>
    <w:p w14:paraId="49014D83" w14:textId="00212D2F" w:rsidR="002B60F6" w:rsidRPr="00E53E52" w:rsidRDefault="002B60F6" w:rsidP="0036367F">
      <w:pPr>
        <w:pStyle w:val="TextParagraph"/>
        <w:spacing w:after="120" w:line="276" w:lineRule="auto"/>
        <w:ind w:firstLine="720"/>
        <w:rPr>
          <w:sz w:val="22"/>
          <w:szCs w:val="22"/>
        </w:rPr>
      </w:pPr>
      <w:r w:rsidRPr="00E53E52">
        <w:rPr>
          <w:sz w:val="22"/>
          <w:szCs w:val="22"/>
        </w:rPr>
        <w:t>Figures 2.8 and 2.9 show the ten countries most represented among those granted asylum in the United States</w:t>
      </w:r>
      <w:r w:rsidR="00E430E9" w:rsidRPr="00E53E52">
        <w:rPr>
          <w:sz w:val="22"/>
          <w:szCs w:val="22"/>
        </w:rPr>
        <w:t xml:space="preserve"> in recent years</w:t>
      </w:r>
      <w:r w:rsidRPr="00E53E52">
        <w:rPr>
          <w:sz w:val="22"/>
          <w:szCs w:val="22"/>
        </w:rPr>
        <w:t>. Figure 2.8 shows the top ten nationalities for affirmative applications granted by USCIS</w:t>
      </w:r>
      <w:r w:rsidR="00701417" w:rsidRPr="00E53E52">
        <w:rPr>
          <w:sz w:val="22"/>
          <w:szCs w:val="22"/>
        </w:rPr>
        <w:t xml:space="preserve"> in 201</w:t>
      </w:r>
      <w:r w:rsidR="00170E90" w:rsidRPr="00E53E52">
        <w:rPr>
          <w:sz w:val="22"/>
          <w:szCs w:val="22"/>
        </w:rPr>
        <w:t>5</w:t>
      </w:r>
      <w:r w:rsidRPr="00E53E52">
        <w:rPr>
          <w:sz w:val="22"/>
          <w:szCs w:val="22"/>
        </w:rPr>
        <w:t>. Figure 2.9 shows the top nationalities for asylum claims granted by immigration judges</w:t>
      </w:r>
      <w:r w:rsidR="00E430E9" w:rsidRPr="00E53E52">
        <w:rPr>
          <w:sz w:val="22"/>
          <w:szCs w:val="22"/>
        </w:rPr>
        <w:t xml:space="preserve"> in 201</w:t>
      </w:r>
      <w:r w:rsidR="00C30069" w:rsidRPr="00E53E52">
        <w:rPr>
          <w:sz w:val="22"/>
          <w:szCs w:val="22"/>
        </w:rPr>
        <w:t>7</w:t>
      </w:r>
      <w:r w:rsidRPr="00E53E52">
        <w:rPr>
          <w:sz w:val="22"/>
          <w:szCs w:val="22"/>
        </w:rPr>
        <w:t xml:space="preserve">. Chinese applicants </w:t>
      </w:r>
      <w:r w:rsidR="0036512F" w:rsidRPr="00E53E52">
        <w:rPr>
          <w:sz w:val="22"/>
          <w:szCs w:val="22"/>
        </w:rPr>
        <w:t>comprised</w:t>
      </w:r>
      <w:r w:rsidRPr="00E53E52">
        <w:rPr>
          <w:sz w:val="22"/>
          <w:szCs w:val="22"/>
        </w:rPr>
        <w:t xml:space="preserve"> </w:t>
      </w:r>
      <w:r w:rsidR="00D66A0F" w:rsidRPr="00E53E52">
        <w:rPr>
          <w:sz w:val="22"/>
          <w:szCs w:val="22"/>
        </w:rPr>
        <w:t>roughly 15</w:t>
      </w:r>
      <w:r w:rsidR="0036512F" w:rsidRPr="00E53E52">
        <w:rPr>
          <w:sz w:val="22"/>
          <w:szCs w:val="22"/>
        </w:rPr>
        <w:t xml:space="preserve"> percent </w:t>
      </w:r>
      <w:r w:rsidRPr="00E53E52">
        <w:rPr>
          <w:sz w:val="22"/>
          <w:szCs w:val="22"/>
        </w:rPr>
        <w:t>of all asylum cases approved by USCIS</w:t>
      </w:r>
      <w:r w:rsidR="0036512F" w:rsidRPr="00E53E52">
        <w:rPr>
          <w:sz w:val="22"/>
          <w:szCs w:val="22"/>
        </w:rPr>
        <w:t>, but</w:t>
      </w:r>
      <w:r w:rsidRPr="00E53E52">
        <w:rPr>
          <w:sz w:val="22"/>
          <w:szCs w:val="22"/>
        </w:rPr>
        <w:t xml:space="preserve"> were granted </w:t>
      </w:r>
      <w:r w:rsidR="00D66A0F" w:rsidRPr="00E53E52">
        <w:rPr>
          <w:sz w:val="22"/>
          <w:szCs w:val="22"/>
        </w:rPr>
        <w:t>almost 35</w:t>
      </w:r>
      <w:r w:rsidRPr="00E53E52">
        <w:rPr>
          <w:sz w:val="22"/>
          <w:szCs w:val="22"/>
        </w:rPr>
        <w:t xml:space="preserve"> percent of all approvals in immigration court. The second largest group of successful applicants at</w:t>
      </w:r>
      <w:r w:rsidR="007979CC" w:rsidRPr="00E53E52">
        <w:rPr>
          <w:sz w:val="22"/>
          <w:szCs w:val="22"/>
        </w:rPr>
        <w:t xml:space="preserve"> both</w:t>
      </w:r>
      <w:r w:rsidRPr="00E53E52">
        <w:rPr>
          <w:sz w:val="22"/>
          <w:szCs w:val="22"/>
        </w:rPr>
        <w:t xml:space="preserve"> USCIS </w:t>
      </w:r>
      <w:r w:rsidR="007979CC" w:rsidRPr="00E53E52">
        <w:rPr>
          <w:sz w:val="22"/>
          <w:szCs w:val="22"/>
        </w:rPr>
        <w:t xml:space="preserve">and Immigration Court </w:t>
      </w:r>
      <w:r w:rsidRPr="00E53E52">
        <w:rPr>
          <w:sz w:val="22"/>
          <w:szCs w:val="22"/>
        </w:rPr>
        <w:t xml:space="preserve">came from </w:t>
      </w:r>
      <w:r w:rsidR="009728FA" w:rsidRPr="00E53E52">
        <w:rPr>
          <w:sz w:val="22"/>
          <w:szCs w:val="22"/>
        </w:rPr>
        <w:t>El Salvador</w:t>
      </w:r>
      <w:r w:rsidR="00F31496" w:rsidRPr="00E53E52">
        <w:rPr>
          <w:sz w:val="22"/>
          <w:szCs w:val="22"/>
        </w:rPr>
        <w:t>. Egyptians formed the third largest group</w:t>
      </w:r>
      <w:r w:rsidRPr="00E53E52">
        <w:rPr>
          <w:sz w:val="22"/>
          <w:szCs w:val="22"/>
        </w:rPr>
        <w:t xml:space="preserve"> </w:t>
      </w:r>
      <w:r w:rsidR="00F31496" w:rsidRPr="00E53E52">
        <w:rPr>
          <w:sz w:val="22"/>
          <w:szCs w:val="22"/>
        </w:rPr>
        <w:t xml:space="preserve">at USCIS, while </w:t>
      </w:r>
      <w:r w:rsidR="002D4437" w:rsidRPr="00E53E52">
        <w:rPr>
          <w:sz w:val="22"/>
          <w:szCs w:val="22"/>
        </w:rPr>
        <w:t xml:space="preserve">Guatemalans were </w:t>
      </w:r>
      <w:r w:rsidRPr="00E53E52">
        <w:rPr>
          <w:sz w:val="22"/>
          <w:szCs w:val="22"/>
        </w:rPr>
        <w:t xml:space="preserve">the </w:t>
      </w:r>
      <w:r w:rsidR="002D4437" w:rsidRPr="00E53E52">
        <w:rPr>
          <w:sz w:val="22"/>
          <w:szCs w:val="22"/>
        </w:rPr>
        <w:t xml:space="preserve">third </w:t>
      </w:r>
      <w:r w:rsidRPr="00E53E52">
        <w:rPr>
          <w:sz w:val="22"/>
          <w:szCs w:val="22"/>
        </w:rPr>
        <w:t>largest group of approvals in immigration cour</w:t>
      </w:r>
      <w:r w:rsidR="002D4437" w:rsidRPr="00E53E52">
        <w:rPr>
          <w:sz w:val="22"/>
          <w:szCs w:val="22"/>
        </w:rPr>
        <w:t xml:space="preserve">t. </w:t>
      </w:r>
      <w:r w:rsidRPr="00E53E52">
        <w:rPr>
          <w:sz w:val="22"/>
          <w:szCs w:val="22"/>
        </w:rPr>
        <w:t>Do any of the listed countries or any omissions surprise you?</w:t>
      </w:r>
      <w:r w:rsidR="00810FDA" w:rsidRPr="00E53E52">
        <w:rPr>
          <w:sz w:val="22"/>
          <w:szCs w:val="22"/>
        </w:rPr>
        <w:t xml:space="preserve"> </w:t>
      </w:r>
      <w:r w:rsidR="0022740B" w:rsidRPr="00E53E52">
        <w:rPr>
          <w:sz w:val="22"/>
          <w:szCs w:val="22"/>
        </w:rPr>
        <w:t xml:space="preserve">Is it significant </w:t>
      </w:r>
      <w:r w:rsidR="003C4385" w:rsidRPr="00E53E52">
        <w:rPr>
          <w:sz w:val="22"/>
          <w:szCs w:val="22"/>
        </w:rPr>
        <w:t>that the USCIS data is from 2015</w:t>
      </w:r>
      <w:r w:rsidR="0022740B" w:rsidRPr="00E53E52">
        <w:rPr>
          <w:sz w:val="22"/>
          <w:szCs w:val="22"/>
        </w:rPr>
        <w:t xml:space="preserve"> and the Immigration </w:t>
      </w:r>
      <w:r w:rsidR="003C4385" w:rsidRPr="00E53E52">
        <w:rPr>
          <w:sz w:val="22"/>
          <w:szCs w:val="22"/>
        </w:rPr>
        <w:t>Court data is from 2016?</w:t>
      </w:r>
      <w:r w:rsidR="00810FDA" w:rsidRPr="00E53E52">
        <w:rPr>
          <w:sz w:val="22"/>
          <w:szCs w:val="22"/>
        </w:rPr>
        <w:t xml:space="preserve"> </w:t>
      </w:r>
    </w:p>
    <w:p w14:paraId="4E8B21AD" w14:textId="77777777" w:rsidR="00CD7E0E" w:rsidRPr="00E53E52" w:rsidRDefault="00CD7E0E" w:rsidP="001D1D6E">
      <w:pPr>
        <w:spacing w:after="120"/>
        <w:rPr>
          <w:rFonts w:ascii="Century Schoolbook" w:eastAsia="Times New Roman" w:hAnsi="Century Schoolbook" w:cs="Times New Roman"/>
          <w:b/>
        </w:rPr>
      </w:pPr>
      <w:r w:rsidRPr="00E53E52">
        <w:rPr>
          <w:b/>
        </w:rPr>
        <w:br w:type="page"/>
      </w:r>
    </w:p>
    <w:p w14:paraId="1CDAC291" w14:textId="04076139" w:rsidR="00A34E0D" w:rsidRPr="00E53E52" w:rsidRDefault="00A34E0D" w:rsidP="00A34E0D">
      <w:pPr>
        <w:pStyle w:val="TextHeadCentered"/>
        <w:spacing w:before="0" w:after="0"/>
        <w:rPr>
          <w:b/>
          <w:sz w:val="22"/>
          <w:szCs w:val="22"/>
        </w:rPr>
      </w:pPr>
      <w:r w:rsidRPr="00E53E52">
        <w:rPr>
          <w:b/>
          <w:sz w:val="22"/>
          <w:szCs w:val="22"/>
        </w:rPr>
        <w:lastRenderedPageBreak/>
        <w:t>Figure 2.8</w:t>
      </w:r>
    </w:p>
    <w:p w14:paraId="0F66F378" w14:textId="77777777" w:rsidR="00A34E0D" w:rsidRPr="00E53E52" w:rsidRDefault="00A34E0D" w:rsidP="00A34E0D">
      <w:pPr>
        <w:pStyle w:val="TextHeadCentered"/>
        <w:spacing w:before="0" w:after="0"/>
        <w:rPr>
          <w:b/>
          <w:sz w:val="22"/>
          <w:szCs w:val="22"/>
        </w:rPr>
      </w:pPr>
      <w:r w:rsidRPr="00E53E52">
        <w:rPr>
          <w:b/>
          <w:sz w:val="22"/>
          <w:szCs w:val="22"/>
        </w:rPr>
        <w:t>Asylum Cases Approved by USCIS, FY 2016</w:t>
      </w:r>
    </w:p>
    <w:p w14:paraId="7B96FE4F" w14:textId="77777777" w:rsidR="00A34E0D" w:rsidRPr="00E53E52" w:rsidRDefault="00A34E0D" w:rsidP="00A34E0D">
      <w:pPr>
        <w:pStyle w:val="ImageSpace"/>
      </w:pPr>
      <w:r w:rsidRPr="00E53E52">
        <w:rPr>
          <w:noProof/>
        </w:rPr>
        <w:drawing>
          <wp:inline distT="0" distB="0" distL="0" distR="0" wp14:anchorId="43FE9042" wp14:editId="17F0FBFC">
            <wp:extent cx="5502275" cy="4047066"/>
            <wp:effectExtent l="0" t="0" r="3175" b="1079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AA713FC" w14:textId="77777777" w:rsidR="00A34E0D" w:rsidRPr="00E53E52" w:rsidRDefault="00A34E0D" w:rsidP="00A34E0D">
      <w:pPr>
        <w:pStyle w:val="TextParagraph"/>
        <w:jc w:val="center"/>
        <w:rPr>
          <w:sz w:val="18"/>
          <w:szCs w:val="18"/>
        </w:rPr>
      </w:pPr>
      <w:r w:rsidRPr="00E53E52">
        <w:rPr>
          <w:sz w:val="18"/>
          <w:szCs w:val="18"/>
        </w:rPr>
        <w:t>Source: 2016 EIOR Yearbook (2017), Figure 22.</w:t>
      </w:r>
    </w:p>
    <w:p w14:paraId="5B5725A1" w14:textId="11B31F11" w:rsidR="00C05FDF" w:rsidRPr="00E53E52" w:rsidRDefault="00CD7E0E">
      <w:pPr>
        <w:rPr>
          <w:b/>
        </w:rPr>
      </w:pPr>
      <w:r w:rsidRPr="00E53E52">
        <w:rPr>
          <w:b/>
        </w:rPr>
        <w:br w:type="page"/>
      </w:r>
    </w:p>
    <w:p w14:paraId="1624104F" w14:textId="006B9654" w:rsidR="00C05FDF" w:rsidRPr="00E53E52" w:rsidRDefault="00C05FDF" w:rsidP="00C05FDF">
      <w:pPr>
        <w:pStyle w:val="TextHeadCentered"/>
        <w:suppressAutoHyphens w:val="0"/>
        <w:spacing w:before="0" w:after="0" w:line="276" w:lineRule="auto"/>
        <w:rPr>
          <w:b/>
          <w:sz w:val="22"/>
          <w:szCs w:val="22"/>
        </w:rPr>
      </w:pPr>
      <w:r w:rsidRPr="00E53E52">
        <w:rPr>
          <w:b/>
          <w:sz w:val="22"/>
          <w:szCs w:val="22"/>
        </w:rPr>
        <w:lastRenderedPageBreak/>
        <w:t xml:space="preserve">Figure </w:t>
      </w:r>
      <w:r w:rsidR="00C30069" w:rsidRPr="00E53E52">
        <w:rPr>
          <w:b/>
          <w:sz w:val="22"/>
          <w:szCs w:val="22"/>
        </w:rPr>
        <w:t>2</w:t>
      </w:r>
      <w:r w:rsidRPr="00E53E52">
        <w:rPr>
          <w:b/>
          <w:sz w:val="22"/>
          <w:szCs w:val="22"/>
        </w:rPr>
        <w:t>.9</w:t>
      </w:r>
      <w:r w:rsidRPr="00E53E52">
        <w:rPr>
          <w:b/>
          <w:sz w:val="22"/>
          <w:szCs w:val="22"/>
        </w:rPr>
        <w:br/>
        <w:t>Asylum Cases Approved by Immigration Judges by Nationality, FY 2017</w:t>
      </w:r>
    </w:p>
    <w:p w14:paraId="00926B43" w14:textId="77777777" w:rsidR="00C05FDF" w:rsidRPr="00E53E52" w:rsidRDefault="00C05FDF" w:rsidP="00C05FDF">
      <w:pPr>
        <w:pStyle w:val="ImageSpace"/>
        <w:spacing w:line="276" w:lineRule="auto"/>
      </w:pPr>
      <w:r w:rsidRPr="00E53E52">
        <w:rPr>
          <w:noProof/>
        </w:rPr>
        <w:drawing>
          <wp:inline distT="0" distB="0" distL="0" distR="0" wp14:anchorId="3499E247" wp14:editId="0E8AA037">
            <wp:extent cx="5502275" cy="4047066"/>
            <wp:effectExtent l="0" t="0" r="3175" b="1079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C29A489" w14:textId="77777777" w:rsidR="00C05FDF" w:rsidRPr="00E53E52" w:rsidRDefault="00C05FDF" w:rsidP="00C05FDF">
      <w:pPr>
        <w:spacing w:before="240"/>
        <w:jc w:val="center"/>
        <w:rPr>
          <w:rFonts w:ascii="Century Schoolbook" w:eastAsia="Times New Roman" w:hAnsi="Century Schoolbook" w:cs="Times New Roman"/>
        </w:rPr>
      </w:pPr>
      <w:r w:rsidRPr="00E53E52">
        <w:rPr>
          <w:rFonts w:ascii="Century Schoolbook" w:hAnsi="Century Schoolbook"/>
          <w:sz w:val="18"/>
          <w:szCs w:val="18"/>
        </w:rPr>
        <w:t>Source: 2017 EOIR Yearbook, Figure 24.</w:t>
      </w:r>
    </w:p>
    <w:p w14:paraId="71DF148B" w14:textId="3180A105" w:rsidR="00C05FDF" w:rsidRPr="00E53E52" w:rsidRDefault="00C05FDF">
      <w:pPr>
        <w:rPr>
          <w:rFonts w:ascii="Century Schoolbook" w:eastAsia="Times New Roman" w:hAnsi="Century Schoolbook" w:cs="Times New Roman"/>
          <w:b/>
        </w:rPr>
      </w:pPr>
      <w:r w:rsidRPr="00E53E52">
        <w:rPr>
          <w:rFonts w:ascii="Century Schoolbook" w:eastAsia="Times New Roman" w:hAnsi="Century Schoolbook" w:cs="Times New Roman"/>
          <w:b/>
        </w:rPr>
        <w:br w:type="page"/>
      </w:r>
    </w:p>
    <w:p w14:paraId="62D65B11" w14:textId="6BF9FB38" w:rsidR="00204DC1" w:rsidRPr="00E53E52" w:rsidRDefault="002B60F6" w:rsidP="0036367F">
      <w:pPr>
        <w:pStyle w:val="TextParagraph"/>
        <w:spacing w:after="120" w:line="276" w:lineRule="auto"/>
        <w:ind w:firstLine="720"/>
        <w:rPr>
          <w:sz w:val="22"/>
          <w:szCs w:val="22"/>
        </w:rPr>
      </w:pPr>
      <w:r w:rsidRPr="00E53E52">
        <w:rPr>
          <w:sz w:val="22"/>
          <w:szCs w:val="22"/>
        </w:rPr>
        <w:lastRenderedPageBreak/>
        <w:t>Figure 2.10 focuses on withholding of removal. Individuals seeking protection in the United States file Form I–589 to apply for asylum and withholding of removal. If an immigration judge rules against asylum, the next issue is withholding. (Immigration judges, not USCIS asylum officers, evaluate all withholding applications.) Figure 2.10 shows how many of these withholding applications—reached only after it has been established that asylum is unavailable—are granted and denied. In 2006, immigration judges granted withholding in 2,571 cases and denied in 16,778 cases. The percentage of grants was 13 percent. How had withholding decisions changed in 201</w:t>
      </w:r>
      <w:r w:rsidR="00C30069" w:rsidRPr="00E53E52">
        <w:rPr>
          <w:sz w:val="22"/>
          <w:szCs w:val="22"/>
        </w:rPr>
        <w:t>7</w:t>
      </w:r>
      <w:r w:rsidRPr="00E53E52">
        <w:rPr>
          <w:sz w:val="22"/>
          <w:szCs w:val="22"/>
        </w:rPr>
        <w:t>?</w:t>
      </w:r>
    </w:p>
    <w:p w14:paraId="259967F3" w14:textId="6904C610" w:rsidR="00C05FDF" w:rsidRPr="00E53E52" w:rsidRDefault="00C05FDF" w:rsidP="00C05FDF">
      <w:pPr>
        <w:pStyle w:val="TextHeadCentered"/>
        <w:suppressAutoHyphens w:val="0"/>
        <w:spacing w:before="0" w:after="0" w:line="276" w:lineRule="auto"/>
        <w:rPr>
          <w:b/>
          <w:sz w:val="22"/>
          <w:szCs w:val="22"/>
        </w:rPr>
      </w:pPr>
      <w:r w:rsidRPr="00E53E52">
        <w:rPr>
          <w:b/>
          <w:sz w:val="22"/>
          <w:szCs w:val="22"/>
        </w:rPr>
        <w:t xml:space="preserve">Figure </w:t>
      </w:r>
      <w:r w:rsidR="00C30069" w:rsidRPr="00E53E52">
        <w:rPr>
          <w:b/>
          <w:sz w:val="22"/>
          <w:szCs w:val="22"/>
        </w:rPr>
        <w:t>2.10</w:t>
      </w:r>
      <w:r w:rsidRPr="00E53E52">
        <w:rPr>
          <w:b/>
          <w:sz w:val="22"/>
          <w:szCs w:val="22"/>
        </w:rPr>
        <w:br/>
        <w:t>Immigration Courts Grants and Denials in</w:t>
      </w:r>
      <w:r w:rsidRPr="00E53E52">
        <w:rPr>
          <w:b/>
          <w:sz w:val="22"/>
          <w:szCs w:val="22"/>
        </w:rPr>
        <w:br/>
        <w:t>Withholding of Removal Cases, 2006–2017</w:t>
      </w:r>
    </w:p>
    <w:p w14:paraId="0935957F" w14:textId="77777777" w:rsidR="00C05FDF" w:rsidRPr="00E53E52" w:rsidRDefault="00C05FDF" w:rsidP="00C05FDF">
      <w:pPr>
        <w:pStyle w:val="ImageSpace"/>
        <w:spacing w:line="276" w:lineRule="auto"/>
      </w:pPr>
      <w:r w:rsidRPr="00E53E52">
        <w:rPr>
          <w:noProof/>
        </w:rPr>
        <w:drawing>
          <wp:inline distT="0" distB="0" distL="0" distR="0" wp14:anchorId="1E94BAD3" wp14:editId="4ACFF1D7">
            <wp:extent cx="5486400" cy="32004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7B4CFCC" w14:textId="77777777" w:rsidR="00C05FDF" w:rsidRPr="00E53E52" w:rsidRDefault="00C05FDF" w:rsidP="00C05FDF">
      <w:pPr>
        <w:pStyle w:val="SourceLine"/>
        <w:spacing w:before="240" w:line="276" w:lineRule="auto"/>
      </w:pPr>
      <w:r w:rsidRPr="00E53E52">
        <w:t>Source: 2006 – 2017 EOIR Statistics Yearbooks, Figure 23.</w:t>
      </w:r>
    </w:p>
    <w:p w14:paraId="4099A8C1" w14:textId="4E72EE1D" w:rsidR="00204DC1" w:rsidRPr="00E53E52" w:rsidRDefault="002B60F6" w:rsidP="0036367F">
      <w:pPr>
        <w:pStyle w:val="TextParagraph"/>
        <w:spacing w:after="120" w:line="276" w:lineRule="auto"/>
        <w:ind w:firstLine="720"/>
        <w:rPr>
          <w:sz w:val="22"/>
          <w:szCs w:val="22"/>
        </w:rPr>
      </w:pPr>
      <w:r w:rsidRPr="00E53E52">
        <w:rPr>
          <w:sz w:val="22"/>
          <w:szCs w:val="22"/>
        </w:rPr>
        <w:t>Figure 2.11 shows the outcomes when immigration courts decide to grant or deny a claim for protection from persecution. Counting both asylum and withholding applications together, Figure 2.11 does not reflect the substantial number of asylum grants by USCIS asylum officers based on affirmative applications without involving an immigration court. Moreover, Figure 2.11 depicts only a portion of the asylum claims raised in immigration court. Roughly one-half of asylum and withholding cases in immigration court do not reach a substantive decision to grant or deny; they are withdrawn or abandoned, or they result in another disposition, as shown earlier in this section.</w:t>
      </w:r>
    </w:p>
    <w:p w14:paraId="5F7C6CD5" w14:textId="77777777" w:rsidR="00204DC1" w:rsidRPr="00E53E52" w:rsidRDefault="00204DC1">
      <w:pPr>
        <w:rPr>
          <w:rFonts w:ascii="Century Schoolbook" w:eastAsia="Times New Roman" w:hAnsi="Century Schoolbook" w:cs="Times New Roman"/>
        </w:rPr>
      </w:pPr>
      <w:r w:rsidRPr="00E53E52">
        <w:br w:type="page"/>
      </w:r>
    </w:p>
    <w:p w14:paraId="6D3CE2F7" w14:textId="19C3B772" w:rsidR="00C05FDF" w:rsidRPr="00E53E52" w:rsidRDefault="00C05FDF" w:rsidP="00C05FDF">
      <w:pPr>
        <w:keepNext/>
        <w:spacing w:after="0"/>
        <w:jc w:val="center"/>
        <w:rPr>
          <w:rFonts w:ascii="Century Schoolbook" w:hAnsi="Century Schoolbook"/>
          <w:b/>
        </w:rPr>
      </w:pPr>
      <w:r w:rsidRPr="00E53E52">
        <w:rPr>
          <w:rFonts w:ascii="Century Schoolbook" w:hAnsi="Century Schoolbook"/>
          <w:b/>
        </w:rPr>
        <w:lastRenderedPageBreak/>
        <w:t xml:space="preserve">Figure </w:t>
      </w:r>
      <w:r w:rsidR="00C30069" w:rsidRPr="00E53E52">
        <w:rPr>
          <w:rFonts w:ascii="Century Schoolbook" w:hAnsi="Century Schoolbook"/>
          <w:b/>
        </w:rPr>
        <w:t>2.11</w:t>
      </w:r>
      <w:r w:rsidRPr="00E53E52">
        <w:rPr>
          <w:rFonts w:ascii="Century Schoolbook" w:hAnsi="Century Schoolbook"/>
          <w:b/>
        </w:rPr>
        <w:br/>
        <w:t xml:space="preserve">Immigration Court Grants and Denials in </w:t>
      </w:r>
      <w:r w:rsidRPr="00E53E52">
        <w:rPr>
          <w:rFonts w:ascii="Century Schoolbook" w:hAnsi="Century Schoolbook"/>
          <w:b/>
        </w:rPr>
        <w:br/>
        <w:t>Asylum and Withholding Cases, 2006–2017</w:t>
      </w:r>
    </w:p>
    <w:p w14:paraId="53DC15C4" w14:textId="77777777" w:rsidR="00C05FDF" w:rsidRPr="00E53E52" w:rsidRDefault="00C05FDF" w:rsidP="00C05FDF">
      <w:pPr>
        <w:pStyle w:val="ImageSpace"/>
        <w:spacing w:line="276" w:lineRule="auto"/>
      </w:pPr>
      <w:r w:rsidRPr="00E53E52">
        <w:rPr>
          <w:noProof/>
        </w:rPr>
        <w:drawing>
          <wp:inline distT="0" distB="0" distL="0" distR="0" wp14:anchorId="390474CB" wp14:editId="7B0162FD">
            <wp:extent cx="5486400" cy="32004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bl>
      <w:tblPr>
        <w:tblW w:w="5000" w:type="pct"/>
        <w:jc w:val="center"/>
        <w:tblLook w:val="04A0" w:firstRow="1" w:lastRow="0" w:firstColumn="1" w:lastColumn="0" w:noHBand="0" w:noVBand="1"/>
      </w:tblPr>
      <w:tblGrid>
        <w:gridCol w:w="1105"/>
        <w:gridCol w:w="661"/>
        <w:gridCol w:w="661"/>
        <w:gridCol w:w="696"/>
        <w:gridCol w:w="661"/>
        <w:gridCol w:w="661"/>
        <w:gridCol w:w="692"/>
        <w:gridCol w:w="700"/>
        <w:gridCol w:w="700"/>
        <w:gridCol w:w="700"/>
        <w:gridCol w:w="701"/>
        <w:gridCol w:w="706"/>
        <w:gridCol w:w="706"/>
      </w:tblGrid>
      <w:tr w:rsidR="00C05FDF" w:rsidRPr="00E53E52" w14:paraId="335264A6" w14:textId="77777777" w:rsidTr="00F36C5E">
        <w:trPr>
          <w:jc w:val="center"/>
        </w:trPr>
        <w:tc>
          <w:tcPr>
            <w:tcW w:w="580" w:type="pct"/>
            <w:tcBorders>
              <w:top w:val="single" w:sz="4" w:space="0" w:color="auto"/>
              <w:left w:val="single" w:sz="4" w:space="0" w:color="auto"/>
              <w:bottom w:val="single" w:sz="4" w:space="0" w:color="auto"/>
              <w:right w:val="single" w:sz="4" w:space="0" w:color="auto"/>
            </w:tcBorders>
          </w:tcPr>
          <w:p w14:paraId="3D3BD9BE" w14:textId="77777777" w:rsidR="00C05FDF" w:rsidRPr="00F36C5E" w:rsidRDefault="00C05FDF" w:rsidP="007E3944">
            <w:pPr>
              <w:pStyle w:val="TextFlush"/>
              <w:spacing w:after="0" w:line="276" w:lineRule="auto"/>
              <w:jc w:val="left"/>
              <w:rPr>
                <w:sz w:val="16"/>
                <w:szCs w:val="16"/>
              </w:rPr>
            </w:pPr>
            <w:r w:rsidRPr="00F36C5E">
              <w:rPr>
                <w:sz w:val="16"/>
                <w:szCs w:val="16"/>
              </w:rPr>
              <w:tab/>
            </w:r>
          </w:p>
        </w:tc>
        <w:tc>
          <w:tcPr>
            <w:tcW w:w="335" w:type="pct"/>
            <w:tcBorders>
              <w:top w:val="single" w:sz="4" w:space="0" w:color="auto"/>
              <w:left w:val="single" w:sz="4" w:space="0" w:color="auto"/>
              <w:bottom w:val="single" w:sz="4" w:space="0" w:color="auto"/>
              <w:right w:val="single" w:sz="4" w:space="0" w:color="auto"/>
            </w:tcBorders>
          </w:tcPr>
          <w:p w14:paraId="3C1D2A30" w14:textId="77777777" w:rsidR="00C05FDF" w:rsidRPr="00F36C5E" w:rsidRDefault="00C05FDF" w:rsidP="007E3944">
            <w:pPr>
              <w:pStyle w:val="TextFlush"/>
              <w:spacing w:after="0" w:line="276" w:lineRule="auto"/>
              <w:jc w:val="center"/>
              <w:rPr>
                <w:i/>
                <w:iCs/>
                <w:sz w:val="16"/>
                <w:szCs w:val="16"/>
              </w:rPr>
            </w:pPr>
            <w:r w:rsidRPr="00F36C5E">
              <w:rPr>
                <w:sz w:val="16"/>
                <w:szCs w:val="16"/>
              </w:rPr>
              <w:t>2006</w:t>
            </w:r>
          </w:p>
        </w:tc>
        <w:tc>
          <w:tcPr>
            <w:tcW w:w="335" w:type="pct"/>
            <w:tcBorders>
              <w:top w:val="single" w:sz="4" w:space="0" w:color="auto"/>
              <w:left w:val="single" w:sz="4" w:space="0" w:color="auto"/>
              <w:bottom w:val="single" w:sz="4" w:space="0" w:color="auto"/>
              <w:right w:val="single" w:sz="4" w:space="0" w:color="auto"/>
            </w:tcBorders>
          </w:tcPr>
          <w:p w14:paraId="45E836F3" w14:textId="77777777" w:rsidR="00C05FDF" w:rsidRPr="00F36C5E" w:rsidRDefault="00C05FDF" w:rsidP="007E3944">
            <w:pPr>
              <w:pStyle w:val="TextFlush"/>
              <w:spacing w:after="0" w:line="276" w:lineRule="auto"/>
              <w:jc w:val="center"/>
              <w:rPr>
                <w:i/>
                <w:iCs/>
                <w:sz w:val="16"/>
                <w:szCs w:val="16"/>
              </w:rPr>
            </w:pPr>
            <w:r w:rsidRPr="00F36C5E">
              <w:rPr>
                <w:sz w:val="16"/>
                <w:szCs w:val="16"/>
              </w:rPr>
              <w:t>2007</w:t>
            </w:r>
          </w:p>
        </w:tc>
        <w:tc>
          <w:tcPr>
            <w:tcW w:w="384" w:type="pct"/>
            <w:tcBorders>
              <w:top w:val="single" w:sz="4" w:space="0" w:color="auto"/>
              <w:left w:val="single" w:sz="4" w:space="0" w:color="auto"/>
              <w:bottom w:val="single" w:sz="4" w:space="0" w:color="auto"/>
              <w:right w:val="single" w:sz="4" w:space="0" w:color="auto"/>
            </w:tcBorders>
          </w:tcPr>
          <w:p w14:paraId="7890D500" w14:textId="77777777" w:rsidR="00C05FDF" w:rsidRPr="00F36C5E" w:rsidRDefault="00C05FDF" w:rsidP="007E3944">
            <w:pPr>
              <w:pStyle w:val="TextFlush"/>
              <w:spacing w:after="0" w:line="276" w:lineRule="auto"/>
              <w:jc w:val="center"/>
              <w:rPr>
                <w:i/>
                <w:iCs/>
                <w:sz w:val="16"/>
                <w:szCs w:val="16"/>
              </w:rPr>
            </w:pPr>
            <w:r w:rsidRPr="00F36C5E">
              <w:rPr>
                <w:sz w:val="16"/>
                <w:szCs w:val="16"/>
              </w:rPr>
              <w:t>2008</w:t>
            </w:r>
          </w:p>
        </w:tc>
        <w:tc>
          <w:tcPr>
            <w:tcW w:w="335" w:type="pct"/>
            <w:tcBorders>
              <w:top w:val="single" w:sz="4" w:space="0" w:color="auto"/>
              <w:left w:val="single" w:sz="4" w:space="0" w:color="auto"/>
              <w:bottom w:val="single" w:sz="4" w:space="0" w:color="auto"/>
              <w:right w:val="single" w:sz="4" w:space="0" w:color="auto"/>
            </w:tcBorders>
          </w:tcPr>
          <w:p w14:paraId="67486133" w14:textId="77777777" w:rsidR="00C05FDF" w:rsidRPr="00F36C5E" w:rsidRDefault="00C05FDF" w:rsidP="007E3944">
            <w:pPr>
              <w:pStyle w:val="TextFlush"/>
              <w:spacing w:after="0" w:line="276" w:lineRule="auto"/>
              <w:jc w:val="center"/>
              <w:rPr>
                <w:i/>
                <w:iCs/>
                <w:sz w:val="16"/>
                <w:szCs w:val="16"/>
              </w:rPr>
            </w:pPr>
            <w:r w:rsidRPr="00F36C5E">
              <w:rPr>
                <w:sz w:val="16"/>
                <w:szCs w:val="16"/>
              </w:rPr>
              <w:t>2009</w:t>
            </w:r>
          </w:p>
        </w:tc>
        <w:tc>
          <w:tcPr>
            <w:tcW w:w="335" w:type="pct"/>
            <w:tcBorders>
              <w:top w:val="single" w:sz="4" w:space="0" w:color="auto"/>
              <w:left w:val="single" w:sz="4" w:space="0" w:color="auto"/>
              <w:bottom w:val="single" w:sz="4" w:space="0" w:color="auto"/>
              <w:right w:val="single" w:sz="4" w:space="0" w:color="auto"/>
            </w:tcBorders>
          </w:tcPr>
          <w:p w14:paraId="5EC5D9A3" w14:textId="77777777" w:rsidR="00C05FDF" w:rsidRPr="00F36C5E" w:rsidRDefault="00C05FDF" w:rsidP="007E3944">
            <w:pPr>
              <w:pStyle w:val="TextFlush"/>
              <w:spacing w:after="0" w:line="276" w:lineRule="auto"/>
              <w:jc w:val="center"/>
              <w:rPr>
                <w:i/>
                <w:iCs/>
                <w:sz w:val="16"/>
                <w:szCs w:val="16"/>
              </w:rPr>
            </w:pPr>
            <w:r w:rsidRPr="00F36C5E">
              <w:rPr>
                <w:sz w:val="16"/>
                <w:szCs w:val="16"/>
              </w:rPr>
              <w:t>2010</w:t>
            </w:r>
          </w:p>
        </w:tc>
        <w:tc>
          <w:tcPr>
            <w:tcW w:w="382" w:type="pct"/>
            <w:tcBorders>
              <w:top w:val="single" w:sz="4" w:space="0" w:color="auto"/>
              <w:left w:val="single" w:sz="4" w:space="0" w:color="auto"/>
              <w:bottom w:val="single" w:sz="4" w:space="0" w:color="auto"/>
              <w:right w:val="single" w:sz="4" w:space="0" w:color="auto"/>
            </w:tcBorders>
          </w:tcPr>
          <w:p w14:paraId="673B2292" w14:textId="77777777" w:rsidR="00C05FDF" w:rsidRPr="00F36C5E" w:rsidRDefault="00C05FDF" w:rsidP="007E3944">
            <w:pPr>
              <w:pStyle w:val="TextFlush"/>
              <w:spacing w:after="0" w:line="276" w:lineRule="auto"/>
              <w:jc w:val="center"/>
              <w:rPr>
                <w:i/>
                <w:iCs/>
                <w:sz w:val="16"/>
                <w:szCs w:val="16"/>
              </w:rPr>
            </w:pPr>
            <w:r w:rsidRPr="00F36C5E">
              <w:rPr>
                <w:sz w:val="16"/>
                <w:szCs w:val="16"/>
              </w:rPr>
              <w:t>2011</w:t>
            </w:r>
          </w:p>
        </w:tc>
        <w:tc>
          <w:tcPr>
            <w:tcW w:w="386" w:type="pct"/>
            <w:tcBorders>
              <w:top w:val="single" w:sz="4" w:space="0" w:color="auto"/>
              <w:left w:val="single" w:sz="4" w:space="0" w:color="auto"/>
              <w:bottom w:val="single" w:sz="4" w:space="0" w:color="auto"/>
              <w:right w:val="single" w:sz="4" w:space="0" w:color="auto"/>
            </w:tcBorders>
          </w:tcPr>
          <w:p w14:paraId="62AA2B81" w14:textId="77777777" w:rsidR="00C05FDF" w:rsidRPr="00F36C5E" w:rsidRDefault="00C05FDF" w:rsidP="007E3944">
            <w:pPr>
              <w:pStyle w:val="TextFlush"/>
              <w:spacing w:after="0" w:line="276" w:lineRule="auto"/>
              <w:jc w:val="center"/>
              <w:rPr>
                <w:sz w:val="16"/>
                <w:szCs w:val="16"/>
              </w:rPr>
            </w:pPr>
            <w:r w:rsidRPr="00F36C5E">
              <w:rPr>
                <w:sz w:val="16"/>
                <w:szCs w:val="16"/>
              </w:rPr>
              <w:t>2012</w:t>
            </w:r>
          </w:p>
        </w:tc>
        <w:tc>
          <w:tcPr>
            <w:tcW w:w="386" w:type="pct"/>
            <w:tcBorders>
              <w:top w:val="single" w:sz="4" w:space="0" w:color="auto"/>
              <w:left w:val="single" w:sz="4" w:space="0" w:color="auto"/>
              <w:bottom w:val="single" w:sz="4" w:space="0" w:color="auto"/>
              <w:right w:val="single" w:sz="4" w:space="0" w:color="auto"/>
            </w:tcBorders>
          </w:tcPr>
          <w:p w14:paraId="3553E65B" w14:textId="77777777" w:rsidR="00C05FDF" w:rsidRPr="00F36C5E" w:rsidRDefault="00C05FDF" w:rsidP="007E3944">
            <w:pPr>
              <w:pStyle w:val="TextFlush"/>
              <w:spacing w:after="0" w:line="276" w:lineRule="auto"/>
              <w:jc w:val="center"/>
              <w:rPr>
                <w:sz w:val="16"/>
                <w:szCs w:val="16"/>
              </w:rPr>
            </w:pPr>
            <w:r w:rsidRPr="00F36C5E">
              <w:rPr>
                <w:sz w:val="16"/>
                <w:szCs w:val="16"/>
              </w:rPr>
              <w:t>2013</w:t>
            </w:r>
          </w:p>
        </w:tc>
        <w:tc>
          <w:tcPr>
            <w:tcW w:w="386" w:type="pct"/>
            <w:tcBorders>
              <w:top w:val="single" w:sz="4" w:space="0" w:color="auto"/>
              <w:left w:val="single" w:sz="4" w:space="0" w:color="auto"/>
              <w:bottom w:val="single" w:sz="4" w:space="0" w:color="auto"/>
              <w:right w:val="single" w:sz="4" w:space="0" w:color="auto"/>
            </w:tcBorders>
          </w:tcPr>
          <w:p w14:paraId="6EB8F983" w14:textId="77777777" w:rsidR="00C05FDF" w:rsidRPr="00F36C5E" w:rsidRDefault="00C05FDF" w:rsidP="007E3944">
            <w:pPr>
              <w:pStyle w:val="TextFlush"/>
              <w:spacing w:after="0" w:line="276" w:lineRule="auto"/>
              <w:jc w:val="center"/>
              <w:rPr>
                <w:sz w:val="16"/>
                <w:szCs w:val="16"/>
              </w:rPr>
            </w:pPr>
            <w:r w:rsidRPr="00F36C5E">
              <w:rPr>
                <w:sz w:val="16"/>
                <w:szCs w:val="16"/>
              </w:rPr>
              <w:t>2014</w:t>
            </w:r>
          </w:p>
        </w:tc>
        <w:tc>
          <w:tcPr>
            <w:tcW w:w="386" w:type="pct"/>
            <w:tcBorders>
              <w:top w:val="single" w:sz="4" w:space="0" w:color="auto"/>
              <w:left w:val="single" w:sz="4" w:space="0" w:color="auto"/>
              <w:bottom w:val="single" w:sz="4" w:space="0" w:color="auto"/>
              <w:right w:val="single" w:sz="4" w:space="0" w:color="auto"/>
            </w:tcBorders>
          </w:tcPr>
          <w:p w14:paraId="4949093B" w14:textId="77777777" w:rsidR="00C05FDF" w:rsidRPr="00F36C5E" w:rsidRDefault="00C05FDF" w:rsidP="007E3944">
            <w:pPr>
              <w:pStyle w:val="TextFlush"/>
              <w:spacing w:after="0" w:line="276" w:lineRule="auto"/>
              <w:jc w:val="center"/>
              <w:rPr>
                <w:sz w:val="16"/>
                <w:szCs w:val="16"/>
              </w:rPr>
            </w:pPr>
            <w:r w:rsidRPr="00F36C5E">
              <w:rPr>
                <w:sz w:val="16"/>
                <w:szCs w:val="16"/>
              </w:rPr>
              <w:t>2015</w:t>
            </w:r>
          </w:p>
        </w:tc>
        <w:tc>
          <w:tcPr>
            <w:tcW w:w="386" w:type="pct"/>
            <w:tcBorders>
              <w:top w:val="single" w:sz="4" w:space="0" w:color="auto"/>
              <w:left w:val="single" w:sz="4" w:space="0" w:color="auto"/>
              <w:bottom w:val="single" w:sz="4" w:space="0" w:color="auto"/>
              <w:right w:val="single" w:sz="4" w:space="0" w:color="auto"/>
            </w:tcBorders>
          </w:tcPr>
          <w:p w14:paraId="11F3F2FB" w14:textId="77777777" w:rsidR="00C05FDF" w:rsidRPr="00F36C5E" w:rsidRDefault="00C05FDF" w:rsidP="007E3944">
            <w:pPr>
              <w:pStyle w:val="TextFlush"/>
              <w:spacing w:after="0" w:line="276" w:lineRule="auto"/>
              <w:jc w:val="center"/>
              <w:rPr>
                <w:sz w:val="16"/>
                <w:szCs w:val="16"/>
              </w:rPr>
            </w:pPr>
            <w:r w:rsidRPr="00F36C5E">
              <w:rPr>
                <w:sz w:val="16"/>
                <w:szCs w:val="16"/>
              </w:rPr>
              <w:t>2016</w:t>
            </w:r>
          </w:p>
        </w:tc>
        <w:tc>
          <w:tcPr>
            <w:tcW w:w="386" w:type="pct"/>
            <w:tcBorders>
              <w:top w:val="single" w:sz="4" w:space="0" w:color="auto"/>
              <w:left w:val="single" w:sz="4" w:space="0" w:color="auto"/>
              <w:bottom w:val="single" w:sz="4" w:space="0" w:color="auto"/>
              <w:right w:val="single" w:sz="4" w:space="0" w:color="auto"/>
            </w:tcBorders>
          </w:tcPr>
          <w:p w14:paraId="56BD32CA" w14:textId="77777777" w:rsidR="00C05FDF" w:rsidRPr="00F36C5E" w:rsidRDefault="00C05FDF" w:rsidP="007E3944">
            <w:pPr>
              <w:pStyle w:val="TextFlush"/>
              <w:spacing w:after="0" w:line="276" w:lineRule="auto"/>
              <w:jc w:val="center"/>
              <w:rPr>
                <w:sz w:val="16"/>
                <w:szCs w:val="16"/>
              </w:rPr>
            </w:pPr>
            <w:r w:rsidRPr="00F36C5E">
              <w:rPr>
                <w:sz w:val="16"/>
                <w:szCs w:val="16"/>
              </w:rPr>
              <w:t>2017</w:t>
            </w:r>
          </w:p>
        </w:tc>
      </w:tr>
      <w:tr w:rsidR="00C05FDF" w:rsidRPr="00E53E52" w14:paraId="52705527" w14:textId="77777777" w:rsidTr="00F36C5E">
        <w:trPr>
          <w:trHeight w:val="1142"/>
          <w:jc w:val="center"/>
        </w:trPr>
        <w:tc>
          <w:tcPr>
            <w:tcW w:w="580" w:type="pct"/>
            <w:tcBorders>
              <w:top w:val="single" w:sz="4" w:space="0" w:color="auto"/>
              <w:left w:val="single" w:sz="4" w:space="0" w:color="auto"/>
              <w:right w:val="single" w:sz="4" w:space="0" w:color="auto"/>
            </w:tcBorders>
          </w:tcPr>
          <w:p w14:paraId="7AEBF20B" w14:textId="77777777" w:rsidR="00C05FDF" w:rsidRPr="00F36C5E" w:rsidRDefault="00C05FDF" w:rsidP="007E3944">
            <w:pPr>
              <w:pStyle w:val="TextFlush"/>
              <w:spacing w:after="0" w:line="276" w:lineRule="auto"/>
              <w:jc w:val="center"/>
              <w:rPr>
                <w:sz w:val="16"/>
                <w:szCs w:val="16"/>
              </w:rPr>
            </w:pPr>
            <w:r w:rsidRPr="00F36C5E">
              <w:rPr>
                <w:sz w:val="16"/>
                <w:szCs w:val="16"/>
              </w:rPr>
              <w:t xml:space="preserve">denials of both asylum &amp; </w:t>
            </w:r>
            <w:r w:rsidRPr="00F36C5E">
              <w:rPr>
                <w:sz w:val="16"/>
                <w:szCs w:val="16"/>
              </w:rPr>
              <w:br/>
              <w:t>withholding</w:t>
            </w:r>
          </w:p>
        </w:tc>
        <w:tc>
          <w:tcPr>
            <w:tcW w:w="335" w:type="pct"/>
            <w:tcBorders>
              <w:top w:val="single" w:sz="4" w:space="0" w:color="auto"/>
              <w:left w:val="single" w:sz="4" w:space="0" w:color="auto"/>
              <w:right w:val="single" w:sz="4" w:space="0" w:color="auto"/>
            </w:tcBorders>
            <w:vAlign w:val="center"/>
          </w:tcPr>
          <w:p w14:paraId="48B1839C" w14:textId="77777777" w:rsidR="00C05FDF" w:rsidRPr="00F36C5E" w:rsidRDefault="00C05FDF" w:rsidP="007E3944">
            <w:pPr>
              <w:pStyle w:val="TextFlush"/>
              <w:spacing w:after="0" w:line="276" w:lineRule="auto"/>
              <w:jc w:val="center"/>
              <w:rPr>
                <w:sz w:val="16"/>
                <w:szCs w:val="16"/>
              </w:rPr>
            </w:pPr>
            <w:r w:rsidRPr="00F36C5E">
              <w:rPr>
                <w:sz w:val="16"/>
                <w:szCs w:val="16"/>
              </w:rPr>
              <w:t>14452</w:t>
            </w:r>
          </w:p>
        </w:tc>
        <w:tc>
          <w:tcPr>
            <w:tcW w:w="335" w:type="pct"/>
            <w:tcBorders>
              <w:top w:val="single" w:sz="4" w:space="0" w:color="auto"/>
              <w:left w:val="single" w:sz="4" w:space="0" w:color="auto"/>
              <w:right w:val="single" w:sz="4" w:space="0" w:color="auto"/>
            </w:tcBorders>
            <w:vAlign w:val="center"/>
          </w:tcPr>
          <w:p w14:paraId="5D12DC00" w14:textId="77777777" w:rsidR="00C05FDF" w:rsidRPr="00F36C5E" w:rsidRDefault="00C05FDF" w:rsidP="007E3944">
            <w:pPr>
              <w:pStyle w:val="TextFlush"/>
              <w:spacing w:after="0" w:line="276" w:lineRule="auto"/>
              <w:jc w:val="center"/>
              <w:rPr>
                <w:sz w:val="16"/>
                <w:szCs w:val="16"/>
              </w:rPr>
            </w:pPr>
            <w:r w:rsidRPr="00F36C5E">
              <w:rPr>
                <w:sz w:val="16"/>
                <w:szCs w:val="16"/>
              </w:rPr>
              <w:t>13048</w:t>
            </w:r>
          </w:p>
        </w:tc>
        <w:tc>
          <w:tcPr>
            <w:tcW w:w="384" w:type="pct"/>
            <w:tcBorders>
              <w:top w:val="single" w:sz="4" w:space="0" w:color="auto"/>
              <w:left w:val="single" w:sz="4" w:space="0" w:color="auto"/>
              <w:right w:val="single" w:sz="4" w:space="0" w:color="auto"/>
            </w:tcBorders>
            <w:vAlign w:val="center"/>
          </w:tcPr>
          <w:p w14:paraId="378ECE28" w14:textId="77777777" w:rsidR="00C05FDF" w:rsidRPr="00F36C5E" w:rsidRDefault="00C05FDF" w:rsidP="007E3944">
            <w:pPr>
              <w:pStyle w:val="TextFlush"/>
              <w:spacing w:after="0" w:line="276" w:lineRule="auto"/>
              <w:jc w:val="center"/>
              <w:rPr>
                <w:sz w:val="16"/>
                <w:szCs w:val="16"/>
              </w:rPr>
            </w:pPr>
            <w:r w:rsidRPr="00F36C5E">
              <w:rPr>
                <w:sz w:val="16"/>
                <w:szCs w:val="16"/>
              </w:rPr>
              <w:t>11632</w:t>
            </w:r>
          </w:p>
        </w:tc>
        <w:tc>
          <w:tcPr>
            <w:tcW w:w="335" w:type="pct"/>
            <w:tcBorders>
              <w:top w:val="single" w:sz="4" w:space="0" w:color="auto"/>
              <w:left w:val="single" w:sz="4" w:space="0" w:color="auto"/>
              <w:right w:val="single" w:sz="4" w:space="0" w:color="auto"/>
            </w:tcBorders>
            <w:vAlign w:val="center"/>
          </w:tcPr>
          <w:p w14:paraId="7C87AC6B" w14:textId="77777777" w:rsidR="00C05FDF" w:rsidRPr="00F36C5E" w:rsidRDefault="00C05FDF" w:rsidP="007E3944">
            <w:pPr>
              <w:pStyle w:val="TextFlush"/>
              <w:spacing w:after="0" w:line="276" w:lineRule="auto"/>
              <w:jc w:val="center"/>
              <w:rPr>
                <w:sz w:val="16"/>
                <w:szCs w:val="16"/>
              </w:rPr>
            </w:pPr>
            <w:r w:rsidRPr="00F36C5E">
              <w:rPr>
                <w:sz w:val="16"/>
                <w:szCs w:val="16"/>
              </w:rPr>
              <w:t>9626</w:t>
            </w:r>
          </w:p>
        </w:tc>
        <w:tc>
          <w:tcPr>
            <w:tcW w:w="335" w:type="pct"/>
            <w:tcBorders>
              <w:top w:val="single" w:sz="4" w:space="0" w:color="auto"/>
              <w:left w:val="single" w:sz="4" w:space="0" w:color="auto"/>
              <w:right w:val="single" w:sz="4" w:space="0" w:color="auto"/>
            </w:tcBorders>
            <w:vAlign w:val="center"/>
          </w:tcPr>
          <w:p w14:paraId="7BEE878B" w14:textId="77777777" w:rsidR="00C05FDF" w:rsidRPr="00F36C5E" w:rsidRDefault="00C05FDF" w:rsidP="007E3944">
            <w:pPr>
              <w:pStyle w:val="TextFlush"/>
              <w:spacing w:after="0" w:line="276" w:lineRule="auto"/>
              <w:jc w:val="center"/>
              <w:rPr>
                <w:sz w:val="16"/>
                <w:szCs w:val="16"/>
              </w:rPr>
            </w:pPr>
            <w:r w:rsidRPr="00F36C5E">
              <w:rPr>
                <w:sz w:val="16"/>
                <w:szCs w:val="16"/>
              </w:rPr>
              <w:t>7922</w:t>
            </w:r>
          </w:p>
        </w:tc>
        <w:tc>
          <w:tcPr>
            <w:tcW w:w="382" w:type="pct"/>
            <w:tcBorders>
              <w:top w:val="single" w:sz="4" w:space="0" w:color="auto"/>
              <w:left w:val="single" w:sz="4" w:space="0" w:color="auto"/>
              <w:right w:val="single" w:sz="4" w:space="0" w:color="auto"/>
            </w:tcBorders>
            <w:vAlign w:val="center"/>
          </w:tcPr>
          <w:p w14:paraId="08D2D74F" w14:textId="77777777" w:rsidR="00C05FDF" w:rsidRPr="00F36C5E" w:rsidRDefault="00C05FDF" w:rsidP="007E3944">
            <w:pPr>
              <w:pStyle w:val="TextFlush"/>
              <w:spacing w:after="0" w:line="276" w:lineRule="auto"/>
              <w:jc w:val="center"/>
              <w:rPr>
                <w:sz w:val="16"/>
                <w:szCs w:val="16"/>
              </w:rPr>
            </w:pPr>
            <w:r w:rsidRPr="00F36C5E">
              <w:rPr>
                <w:sz w:val="16"/>
                <w:szCs w:val="16"/>
              </w:rPr>
              <w:t>8690</w:t>
            </w:r>
          </w:p>
        </w:tc>
        <w:tc>
          <w:tcPr>
            <w:tcW w:w="386" w:type="pct"/>
            <w:tcBorders>
              <w:top w:val="single" w:sz="4" w:space="0" w:color="auto"/>
              <w:left w:val="single" w:sz="4" w:space="0" w:color="auto"/>
              <w:right w:val="single" w:sz="4" w:space="0" w:color="auto"/>
            </w:tcBorders>
            <w:vAlign w:val="center"/>
          </w:tcPr>
          <w:p w14:paraId="1B9AB643" w14:textId="77777777" w:rsidR="00C05FDF" w:rsidRPr="00F36C5E" w:rsidRDefault="00C05FDF" w:rsidP="007E3944">
            <w:pPr>
              <w:pStyle w:val="TextFlush"/>
              <w:spacing w:after="0" w:line="276" w:lineRule="auto"/>
              <w:jc w:val="center"/>
              <w:rPr>
                <w:sz w:val="16"/>
                <w:szCs w:val="16"/>
              </w:rPr>
            </w:pPr>
            <w:r w:rsidRPr="00F36C5E">
              <w:rPr>
                <w:sz w:val="16"/>
                <w:szCs w:val="16"/>
              </w:rPr>
              <w:t>7850</w:t>
            </w:r>
          </w:p>
        </w:tc>
        <w:tc>
          <w:tcPr>
            <w:tcW w:w="386" w:type="pct"/>
            <w:tcBorders>
              <w:top w:val="single" w:sz="4" w:space="0" w:color="auto"/>
              <w:left w:val="single" w:sz="4" w:space="0" w:color="auto"/>
              <w:right w:val="single" w:sz="4" w:space="0" w:color="auto"/>
            </w:tcBorders>
            <w:vAlign w:val="center"/>
          </w:tcPr>
          <w:p w14:paraId="194EE389" w14:textId="77777777" w:rsidR="00C05FDF" w:rsidRPr="00F36C5E" w:rsidRDefault="00C05FDF" w:rsidP="007E3944">
            <w:pPr>
              <w:pStyle w:val="TextFlush"/>
              <w:spacing w:after="0" w:line="276" w:lineRule="auto"/>
              <w:jc w:val="center"/>
              <w:rPr>
                <w:sz w:val="16"/>
                <w:szCs w:val="16"/>
              </w:rPr>
            </w:pPr>
            <w:r w:rsidRPr="00F36C5E">
              <w:rPr>
                <w:sz w:val="16"/>
                <w:szCs w:val="16"/>
              </w:rPr>
              <w:t>7,298</w:t>
            </w:r>
          </w:p>
        </w:tc>
        <w:tc>
          <w:tcPr>
            <w:tcW w:w="386" w:type="pct"/>
            <w:tcBorders>
              <w:top w:val="single" w:sz="4" w:space="0" w:color="auto"/>
              <w:left w:val="single" w:sz="4" w:space="0" w:color="auto"/>
              <w:right w:val="single" w:sz="4" w:space="0" w:color="auto"/>
            </w:tcBorders>
            <w:vAlign w:val="center"/>
          </w:tcPr>
          <w:p w14:paraId="027BC548" w14:textId="77777777" w:rsidR="00C05FDF" w:rsidRPr="00F36C5E" w:rsidRDefault="00C05FDF" w:rsidP="007E3944">
            <w:pPr>
              <w:pStyle w:val="TextFlush"/>
              <w:spacing w:after="0" w:line="276" w:lineRule="auto"/>
              <w:jc w:val="center"/>
              <w:rPr>
                <w:sz w:val="16"/>
                <w:szCs w:val="16"/>
              </w:rPr>
            </w:pPr>
            <w:r w:rsidRPr="00F36C5E">
              <w:rPr>
                <w:sz w:val="16"/>
                <w:szCs w:val="16"/>
              </w:rPr>
              <w:t>7,925</w:t>
            </w:r>
          </w:p>
        </w:tc>
        <w:tc>
          <w:tcPr>
            <w:tcW w:w="386" w:type="pct"/>
            <w:tcBorders>
              <w:top w:val="single" w:sz="4" w:space="0" w:color="auto"/>
              <w:left w:val="single" w:sz="4" w:space="0" w:color="auto"/>
              <w:right w:val="single" w:sz="4" w:space="0" w:color="auto"/>
            </w:tcBorders>
            <w:vAlign w:val="center"/>
          </w:tcPr>
          <w:p w14:paraId="614C0BB5" w14:textId="77777777" w:rsidR="00C05FDF" w:rsidRPr="00F36C5E" w:rsidRDefault="00C05FDF" w:rsidP="007E3944">
            <w:pPr>
              <w:pStyle w:val="TextFlush"/>
              <w:spacing w:after="0" w:line="276" w:lineRule="auto"/>
              <w:jc w:val="center"/>
              <w:rPr>
                <w:sz w:val="16"/>
                <w:szCs w:val="16"/>
              </w:rPr>
            </w:pPr>
            <w:r w:rsidRPr="00F36C5E">
              <w:rPr>
                <w:sz w:val="16"/>
                <w:szCs w:val="16"/>
              </w:rPr>
              <w:t>7,713</w:t>
            </w:r>
          </w:p>
        </w:tc>
        <w:tc>
          <w:tcPr>
            <w:tcW w:w="386" w:type="pct"/>
            <w:tcBorders>
              <w:top w:val="single" w:sz="4" w:space="0" w:color="auto"/>
              <w:left w:val="single" w:sz="4" w:space="0" w:color="auto"/>
              <w:right w:val="single" w:sz="4" w:space="0" w:color="auto"/>
            </w:tcBorders>
            <w:vAlign w:val="center"/>
          </w:tcPr>
          <w:p w14:paraId="3D6A1392" w14:textId="77777777" w:rsidR="00C05FDF" w:rsidRPr="00F36C5E" w:rsidRDefault="00C05FDF" w:rsidP="007E3944">
            <w:pPr>
              <w:pStyle w:val="TextFlush"/>
              <w:spacing w:after="0" w:line="276" w:lineRule="auto"/>
              <w:jc w:val="center"/>
              <w:rPr>
                <w:sz w:val="16"/>
                <w:szCs w:val="16"/>
              </w:rPr>
            </w:pPr>
            <w:r w:rsidRPr="00F36C5E">
              <w:rPr>
                <w:sz w:val="16"/>
                <w:szCs w:val="16"/>
              </w:rPr>
              <w:t>10,728</w:t>
            </w:r>
          </w:p>
        </w:tc>
        <w:tc>
          <w:tcPr>
            <w:tcW w:w="386" w:type="pct"/>
            <w:tcBorders>
              <w:top w:val="single" w:sz="4" w:space="0" w:color="auto"/>
              <w:left w:val="single" w:sz="4" w:space="0" w:color="auto"/>
              <w:right w:val="single" w:sz="4" w:space="0" w:color="auto"/>
            </w:tcBorders>
            <w:vAlign w:val="center"/>
          </w:tcPr>
          <w:p w14:paraId="297D9957" w14:textId="77777777" w:rsidR="00C05FDF" w:rsidRPr="00F36C5E" w:rsidRDefault="00C05FDF" w:rsidP="007E3944">
            <w:pPr>
              <w:pStyle w:val="TextFlush"/>
              <w:spacing w:after="0" w:line="276" w:lineRule="auto"/>
              <w:jc w:val="center"/>
              <w:rPr>
                <w:sz w:val="16"/>
                <w:szCs w:val="16"/>
              </w:rPr>
            </w:pPr>
            <w:r w:rsidRPr="00F36C5E">
              <w:rPr>
                <w:sz w:val="16"/>
                <w:szCs w:val="16"/>
              </w:rPr>
              <w:t>16,197</w:t>
            </w:r>
          </w:p>
        </w:tc>
      </w:tr>
      <w:tr w:rsidR="00C05FDF" w:rsidRPr="00E53E52" w14:paraId="6E8B9ECA" w14:textId="77777777" w:rsidTr="00F36C5E">
        <w:trPr>
          <w:jc w:val="center"/>
        </w:trPr>
        <w:tc>
          <w:tcPr>
            <w:tcW w:w="580" w:type="pct"/>
            <w:tcBorders>
              <w:top w:val="single" w:sz="4" w:space="0" w:color="auto"/>
              <w:left w:val="single" w:sz="4" w:space="0" w:color="auto"/>
              <w:bottom w:val="single" w:sz="4" w:space="0" w:color="auto"/>
              <w:right w:val="single" w:sz="4" w:space="0" w:color="auto"/>
            </w:tcBorders>
          </w:tcPr>
          <w:p w14:paraId="3A7F9C00" w14:textId="77777777" w:rsidR="00C05FDF" w:rsidRPr="00F36C5E" w:rsidRDefault="00C05FDF" w:rsidP="007E3944">
            <w:pPr>
              <w:pStyle w:val="TextFlush"/>
              <w:spacing w:after="0" w:line="276" w:lineRule="auto"/>
              <w:jc w:val="center"/>
              <w:rPr>
                <w:sz w:val="16"/>
                <w:szCs w:val="16"/>
              </w:rPr>
            </w:pPr>
            <w:r w:rsidRPr="00F36C5E">
              <w:rPr>
                <w:sz w:val="16"/>
                <w:szCs w:val="16"/>
              </w:rPr>
              <w:t>withholding grants</w:t>
            </w:r>
          </w:p>
        </w:tc>
        <w:tc>
          <w:tcPr>
            <w:tcW w:w="335" w:type="pct"/>
            <w:tcBorders>
              <w:top w:val="single" w:sz="4" w:space="0" w:color="auto"/>
              <w:left w:val="single" w:sz="4" w:space="0" w:color="auto"/>
              <w:bottom w:val="single" w:sz="4" w:space="0" w:color="auto"/>
              <w:right w:val="single" w:sz="4" w:space="0" w:color="auto"/>
            </w:tcBorders>
            <w:vAlign w:val="center"/>
          </w:tcPr>
          <w:p w14:paraId="4C9075E1" w14:textId="77777777" w:rsidR="00C05FDF" w:rsidRPr="00F36C5E" w:rsidRDefault="00C05FDF" w:rsidP="007E3944">
            <w:pPr>
              <w:pStyle w:val="TextFlush"/>
              <w:spacing w:after="0" w:line="276" w:lineRule="auto"/>
              <w:jc w:val="center"/>
              <w:rPr>
                <w:sz w:val="16"/>
                <w:szCs w:val="16"/>
              </w:rPr>
            </w:pPr>
            <w:r w:rsidRPr="00F36C5E">
              <w:rPr>
                <w:sz w:val="16"/>
                <w:szCs w:val="16"/>
              </w:rPr>
              <w:t>2571 8%</w:t>
            </w:r>
          </w:p>
        </w:tc>
        <w:tc>
          <w:tcPr>
            <w:tcW w:w="335" w:type="pct"/>
            <w:tcBorders>
              <w:top w:val="single" w:sz="4" w:space="0" w:color="auto"/>
              <w:left w:val="single" w:sz="4" w:space="0" w:color="auto"/>
              <w:bottom w:val="single" w:sz="4" w:space="0" w:color="auto"/>
              <w:right w:val="single" w:sz="4" w:space="0" w:color="auto"/>
            </w:tcBorders>
            <w:vAlign w:val="center"/>
          </w:tcPr>
          <w:p w14:paraId="5D071653" w14:textId="77777777" w:rsidR="00C05FDF" w:rsidRPr="00F36C5E" w:rsidRDefault="00C05FDF" w:rsidP="007E3944">
            <w:pPr>
              <w:pStyle w:val="TextFlush"/>
              <w:spacing w:after="0" w:line="276" w:lineRule="auto"/>
              <w:jc w:val="center"/>
              <w:rPr>
                <w:sz w:val="16"/>
                <w:szCs w:val="16"/>
              </w:rPr>
            </w:pPr>
            <w:r w:rsidRPr="00F36C5E">
              <w:rPr>
                <w:sz w:val="16"/>
                <w:szCs w:val="16"/>
              </w:rPr>
              <w:t>2555 9%</w:t>
            </w:r>
          </w:p>
        </w:tc>
        <w:tc>
          <w:tcPr>
            <w:tcW w:w="384" w:type="pct"/>
            <w:tcBorders>
              <w:top w:val="single" w:sz="4" w:space="0" w:color="auto"/>
              <w:left w:val="single" w:sz="4" w:space="0" w:color="auto"/>
              <w:bottom w:val="single" w:sz="4" w:space="0" w:color="auto"/>
              <w:right w:val="single" w:sz="4" w:space="0" w:color="auto"/>
            </w:tcBorders>
            <w:vAlign w:val="center"/>
          </w:tcPr>
          <w:p w14:paraId="73F042F8" w14:textId="77777777" w:rsidR="00C05FDF" w:rsidRPr="00F36C5E" w:rsidRDefault="00C05FDF" w:rsidP="007E3944">
            <w:pPr>
              <w:pStyle w:val="TextFlush"/>
              <w:spacing w:after="0" w:line="276" w:lineRule="auto"/>
              <w:jc w:val="center"/>
              <w:rPr>
                <w:sz w:val="16"/>
                <w:szCs w:val="16"/>
              </w:rPr>
            </w:pPr>
            <w:r w:rsidRPr="00F36C5E">
              <w:rPr>
                <w:sz w:val="16"/>
                <w:szCs w:val="16"/>
              </w:rPr>
              <w:t>2055 9%</w:t>
            </w:r>
          </w:p>
        </w:tc>
        <w:tc>
          <w:tcPr>
            <w:tcW w:w="335" w:type="pct"/>
            <w:tcBorders>
              <w:top w:val="single" w:sz="4" w:space="0" w:color="auto"/>
              <w:left w:val="single" w:sz="4" w:space="0" w:color="auto"/>
              <w:bottom w:val="single" w:sz="4" w:space="0" w:color="auto"/>
              <w:right w:val="single" w:sz="4" w:space="0" w:color="auto"/>
            </w:tcBorders>
            <w:vAlign w:val="center"/>
          </w:tcPr>
          <w:p w14:paraId="6346159C" w14:textId="77777777" w:rsidR="00C05FDF" w:rsidRPr="00F36C5E" w:rsidRDefault="00C05FDF" w:rsidP="007E3944">
            <w:pPr>
              <w:pStyle w:val="TextFlush"/>
              <w:spacing w:after="0" w:line="276" w:lineRule="auto"/>
              <w:jc w:val="center"/>
              <w:rPr>
                <w:sz w:val="16"/>
                <w:szCs w:val="16"/>
              </w:rPr>
            </w:pPr>
            <w:r w:rsidRPr="00F36C5E">
              <w:rPr>
                <w:sz w:val="16"/>
                <w:szCs w:val="16"/>
              </w:rPr>
              <w:t>1985 9%</w:t>
            </w:r>
          </w:p>
        </w:tc>
        <w:tc>
          <w:tcPr>
            <w:tcW w:w="335" w:type="pct"/>
            <w:tcBorders>
              <w:top w:val="single" w:sz="4" w:space="0" w:color="auto"/>
              <w:left w:val="single" w:sz="4" w:space="0" w:color="auto"/>
              <w:bottom w:val="single" w:sz="4" w:space="0" w:color="auto"/>
              <w:right w:val="single" w:sz="4" w:space="0" w:color="auto"/>
            </w:tcBorders>
            <w:vAlign w:val="center"/>
          </w:tcPr>
          <w:p w14:paraId="12B7E2B5" w14:textId="77777777" w:rsidR="00C05FDF" w:rsidRPr="00F36C5E" w:rsidRDefault="00C05FDF" w:rsidP="007E3944">
            <w:pPr>
              <w:pStyle w:val="TextFlush"/>
              <w:spacing w:after="0" w:line="276" w:lineRule="auto"/>
              <w:jc w:val="center"/>
              <w:rPr>
                <w:sz w:val="16"/>
                <w:szCs w:val="16"/>
              </w:rPr>
            </w:pPr>
            <w:r w:rsidRPr="00F36C5E">
              <w:rPr>
                <w:sz w:val="16"/>
                <w:szCs w:val="16"/>
              </w:rPr>
              <w:t>1881 10%</w:t>
            </w:r>
          </w:p>
        </w:tc>
        <w:tc>
          <w:tcPr>
            <w:tcW w:w="382" w:type="pct"/>
            <w:tcBorders>
              <w:top w:val="single" w:sz="4" w:space="0" w:color="auto"/>
              <w:left w:val="single" w:sz="4" w:space="0" w:color="auto"/>
              <w:bottom w:val="single" w:sz="4" w:space="0" w:color="auto"/>
              <w:right w:val="single" w:sz="4" w:space="0" w:color="auto"/>
            </w:tcBorders>
            <w:vAlign w:val="center"/>
          </w:tcPr>
          <w:p w14:paraId="3380F5D9" w14:textId="77777777" w:rsidR="00C05FDF" w:rsidRPr="00F36C5E" w:rsidRDefault="00C05FDF" w:rsidP="007E3944">
            <w:pPr>
              <w:pStyle w:val="TextFlush"/>
              <w:spacing w:after="0" w:line="276" w:lineRule="auto"/>
              <w:jc w:val="center"/>
              <w:rPr>
                <w:sz w:val="16"/>
                <w:szCs w:val="16"/>
              </w:rPr>
            </w:pPr>
            <w:r w:rsidRPr="00F36C5E">
              <w:rPr>
                <w:sz w:val="16"/>
                <w:szCs w:val="16"/>
              </w:rPr>
              <w:t>2041 9%</w:t>
            </w:r>
          </w:p>
        </w:tc>
        <w:tc>
          <w:tcPr>
            <w:tcW w:w="386" w:type="pct"/>
            <w:tcBorders>
              <w:top w:val="single" w:sz="4" w:space="0" w:color="auto"/>
              <w:left w:val="single" w:sz="4" w:space="0" w:color="auto"/>
              <w:bottom w:val="single" w:sz="4" w:space="0" w:color="auto"/>
              <w:right w:val="single" w:sz="4" w:space="0" w:color="auto"/>
            </w:tcBorders>
            <w:vAlign w:val="center"/>
          </w:tcPr>
          <w:p w14:paraId="7564533B" w14:textId="77777777" w:rsidR="00C05FDF" w:rsidRPr="00F36C5E" w:rsidRDefault="00C05FDF" w:rsidP="007E3944">
            <w:pPr>
              <w:pStyle w:val="TextFlush"/>
              <w:spacing w:after="0" w:line="276" w:lineRule="auto"/>
              <w:jc w:val="center"/>
              <w:rPr>
                <w:sz w:val="16"/>
                <w:szCs w:val="16"/>
              </w:rPr>
            </w:pPr>
            <w:r w:rsidRPr="00F36C5E">
              <w:rPr>
                <w:sz w:val="16"/>
                <w:szCs w:val="16"/>
              </w:rPr>
              <w:t>1910</w:t>
            </w:r>
            <w:r w:rsidRPr="00F36C5E">
              <w:rPr>
                <w:sz w:val="16"/>
                <w:szCs w:val="16"/>
              </w:rPr>
              <w:br/>
              <w:t>9%</w:t>
            </w:r>
          </w:p>
        </w:tc>
        <w:tc>
          <w:tcPr>
            <w:tcW w:w="386" w:type="pct"/>
            <w:tcBorders>
              <w:top w:val="single" w:sz="4" w:space="0" w:color="auto"/>
              <w:left w:val="single" w:sz="4" w:space="0" w:color="auto"/>
              <w:bottom w:val="single" w:sz="4" w:space="0" w:color="auto"/>
              <w:right w:val="single" w:sz="4" w:space="0" w:color="auto"/>
            </w:tcBorders>
            <w:vAlign w:val="center"/>
          </w:tcPr>
          <w:p w14:paraId="24D9F0A0" w14:textId="77777777" w:rsidR="00C05FDF" w:rsidRPr="00F36C5E" w:rsidRDefault="00C05FDF" w:rsidP="007E3944">
            <w:pPr>
              <w:pStyle w:val="TextFlush"/>
              <w:spacing w:after="0" w:line="276" w:lineRule="auto"/>
              <w:jc w:val="center"/>
              <w:rPr>
                <w:sz w:val="16"/>
                <w:szCs w:val="16"/>
              </w:rPr>
            </w:pPr>
            <w:r w:rsidRPr="00F36C5E">
              <w:rPr>
                <w:sz w:val="16"/>
                <w:szCs w:val="16"/>
              </w:rPr>
              <w:t>1624</w:t>
            </w:r>
          </w:p>
          <w:p w14:paraId="57F0FD12" w14:textId="77777777" w:rsidR="00C05FDF" w:rsidRPr="00F36C5E" w:rsidRDefault="00C05FDF" w:rsidP="007E3944">
            <w:pPr>
              <w:pStyle w:val="TextFlush"/>
              <w:spacing w:after="0" w:line="276" w:lineRule="auto"/>
              <w:jc w:val="center"/>
              <w:rPr>
                <w:sz w:val="16"/>
                <w:szCs w:val="16"/>
              </w:rPr>
            </w:pPr>
            <w:r w:rsidRPr="00F36C5E">
              <w:rPr>
                <w:sz w:val="16"/>
                <w:szCs w:val="16"/>
              </w:rPr>
              <w:t>8%</w:t>
            </w:r>
          </w:p>
        </w:tc>
        <w:tc>
          <w:tcPr>
            <w:tcW w:w="386" w:type="pct"/>
            <w:tcBorders>
              <w:top w:val="single" w:sz="4" w:space="0" w:color="auto"/>
              <w:left w:val="single" w:sz="4" w:space="0" w:color="auto"/>
              <w:bottom w:val="single" w:sz="4" w:space="0" w:color="auto"/>
              <w:right w:val="single" w:sz="4" w:space="0" w:color="auto"/>
            </w:tcBorders>
            <w:vAlign w:val="center"/>
          </w:tcPr>
          <w:p w14:paraId="5329784D" w14:textId="77777777" w:rsidR="00C05FDF" w:rsidRPr="00F36C5E" w:rsidRDefault="00C05FDF" w:rsidP="007E3944">
            <w:pPr>
              <w:pStyle w:val="TextFlush"/>
              <w:spacing w:after="0" w:line="276" w:lineRule="auto"/>
              <w:jc w:val="center"/>
              <w:rPr>
                <w:sz w:val="16"/>
                <w:szCs w:val="16"/>
              </w:rPr>
            </w:pPr>
            <w:r w:rsidRPr="00F36C5E">
              <w:rPr>
                <w:sz w:val="16"/>
                <w:szCs w:val="16"/>
              </w:rPr>
              <w:t>1436</w:t>
            </w:r>
          </w:p>
          <w:p w14:paraId="78F8F6DD" w14:textId="77777777" w:rsidR="00C05FDF" w:rsidRPr="00F36C5E" w:rsidRDefault="00C05FDF" w:rsidP="007E3944">
            <w:pPr>
              <w:pStyle w:val="TextFlush"/>
              <w:spacing w:after="0" w:line="276" w:lineRule="auto"/>
              <w:jc w:val="center"/>
              <w:rPr>
                <w:sz w:val="16"/>
                <w:szCs w:val="16"/>
              </w:rPr>
            </w:pPr>
            <w:r w:rsidRPr="00F36C5E">
              <w:rPr>
                <w:sz w:val="16"/>
                <w:szCs w:val="16"/>
              </w:rPr>
              <w:t>8%</w:t>
            </w:r>
          </w:p>
        </w:tc>
        <w:tc>
          <w:tcPr>
            <w:tcW w:w="386" w:type="pct"/>
            <w:tcBorders>
              <w:top w:val="single" w:sz="4" w:space="0" w:color="auto"/>
              <w:left w:val="single" w:sz="4" w:space="0" w:color="auto"/>
              <w:bottom w:val="single" w:sz="4" w:space="0" w:color="auto"/>
              <w:right w:val="single" w:sz="4" w:space="0" w:color="auto"/>
            </w:tcBorders>
            <w:vAlign w:val="center"/>
          </w:tcPr>
          <w:p w14:paraId="022374C6" w14:textId="77777777" w:rsidR="00C05FDF" w:rsidRPr="00F36C5E" w:rsidRDefault="00C05FDF" w:rsidP="007E3944">
            <w:pPr>
              <w:pStyle w:val="TextFlush"/>
              <w:spacing w:after="0" w:line="276" w:lineRule="auto"/>
              <w:jc w:val="center"/>
              <w:rPr>
                <w:sz w:val="16"/>
                <w:szCs w:val="16"/>
              </w:rPr>
            </w:pPr>
            <w:r w:rsidRPr="00F36C5E">
              <w:rPr>
                <w:sz w:val="16"/>
                <w:szCs w:val="16"/>
              </w:rPr>
              <w:t>1138</w:t>
            </w:r>
          </w:p>
          <w:p w14:paraId="25438668" w14:textId="77777777" w:rsidR="00C05FDF" w:rsidRPr="00F36C5E" w:rsidRDefault="00C05FDF" w:rsidP="007E3944">
            <w:pPr>
              <w:pStyle w:val="TextParagraph"/>
              <w:ind w:firstLine="0"/>
              <w:jc w:val="center"/>
              <w:rPr>
                <w:sz w:val="16"/>
                <w:szCs w:val="16"/>
              </w:rPr>
            </w:pPr>
            <w:r w:rsidRPr="00F36C5E">
              <w:rPr>
                <w:sz w:val="16"/>
                <w:szCs w:val="16"/>
              </w:rPr>
              <w:t>7%</w:t>
            </w:r>
          </w:p>
        </w:tc>
        <w:tc>
          <w:tcPr>
            <w:tcW w:w="386" w:type="pct"/>
            <w:tcBorders>
              <w:top w:val="single" w:sz="4" w:space="0" w:color="auto"/>
              <w:left w:val="single" w:sz="4" w:space="0" w:color="auto"/>
              <w:bottom w:val="single" w:sz="4" w:space="0" w:color="auto"/>
              <w:right w:val="single" w:sz="4" w:space="0" w:color="auto"/>
            </w:tcBorders>
            <w:vAlign w:val="center"/>
          </w:tcPr>
          <w:p w14:paraId="2A87F949" w14:textId="77777777" w:rsidR="00C05FDF" w:rsidRPr="00F36C5E" w:rsidRDefault="00C05FDF" w:rsidP="007E3944">
            <w:pPr>
              <w:pStyle w:val="TextFlush"/>
              <w:spacing w:after="0" w:line="276" w:lineRule="auto"/>
              <w:jc w:val="center"/>
              <w:rPr>
                <w:sz w:val="16"/>
                <w:szCs w:val="16"/>
              </w:rPr>
            </w:pPr>
            <w:r w:rsidRPr="00F36C5E">
              <w:rPr>
                <w:sz w:val="16"/>
                <w:szCs w:val="16"/>
              </w:rPr>
              <w:t>1049</w:t>
            </w:r>
          </w:p>
          <w:p w14:paraId="3D732429" w14:textId="77777777" w:rsidR="00C05FDF" w:rsidRPr="00F36C5E" w:rsidRDefault="00C05FDF" w:rsidP="007E3944">
            <w:pPr>
              <w:pStyle w:val="TextParagraph"/>
              <w:ind w:firstLine="0"/>
              <w:jc w:val="center"/>
              <w:rPr>
                <w:sz w:val="16"/>
                <w:szCs w:val="16"/>
              </w:rPr>
            </w:pPr>
            <w:r w:rsidRPr="00F36C5E">
              <w:rPr>
                <w:sz w:val="16"/>
                <w:szCs w:val="16"/>
              </w:rPr>
              <w:t>5%</w:t>
            </w:r>
          </w:p>
        </w:tc>
        <w:tc>
          <w:tcPr>
            <w:tcW w:w="386" w:type="pct"/>
            <w:tcBorders>
              <w:top w:val="single" w:sz="4" w:space="0" w:color="auto"/>
              <w:left w:val="single" w:sz="4" w:space="0" w:color="auto"/>
              <w:bottom w:val="single" w:sz="4" w:space="0" w:color="auto"/>
              <w:right w:val="single" w:sz="4" w:space="0" w:color="auto"/>
            </w:tcBorders>
            <w:vAlign w:val="center"/>
          </w:tcPr>
          <w:p w14:paraId="053F0D0B" w14:textId="77777777" w:rsidR="00C05FDF" w:rsidRPr="00F36C5E" w:rsidRDefault="00C05FDF" w:rsidP="007E3944">
            <w:pPr>
              <w:pStyle w:val="TextFlush"/>
              <w:spacing w:after="0" w:line="276" w:lineRule="auto"/>
              <w:jc w:val="center"/>
              <w:rPr>
                <w:sz w:val="16"/>
                <w:szCs w:val="16"/>
              </w:rPr>
            </w:pPr>
            <w:r w:rsidRPr="00F36C5E">
              <w:rPr>
                <w:sz w:val="16"/>
                <w:szCs w:val="16"/>
              </w:rPr>
              <w:t>1265</w:t>
            </w:r>
          </w:p>
          <w:p w14:paraId="5EE411CC" w14:textId="77777777" w:rsidR="00C05FDF" w:rsidRPr="00F36C5E" w:rsidRDefault="00C05FDF" w:rsidP="007E3944">
            <w:pPr>
              <w:pStyle w:val="TextParagraph"/>
              <w:ind w:firstLine="0"/>
              <w:jc w:val="center"/>
              <w:rPr>
                <w:sz w:val="16"/>
                <w:szCs w:val="16"/>
              </w:rPr>
            </w:pPr>
            <w:r w:rsidRPr="00F36C5E">
              <w:rPr>
                <w:sz w:val="16"/>
                <w:szCs w:val="16"/>
              </w:rPr>
              <w:t>4%</w:t>
            </w:r>
          </w:p>
        </w:tc>
      </w:tr>
      <w:tr w:rsidR="00C05FDF" w:rsidRPr="00E53E52" w14:paraId="6C2FE237" w14:textId="77777777" w:rsidTr="00F36C5E">
        <w:trPr>
          <w:jc w:val="center"/>
        </w:trPr>
        <w:tc>
          <w:tcPr>
            <w:tcW w:w="580" w:type="pct"/>
            <w:tcBorders>
              <w:top w:val="single" w:sz="4" w:space="0" w:color="auto"/>
              <w:left w:val="single" w:sz="4" w:space="0" w:color="auto"/>
              <w:bottom w:val="single" w:sz="4" w:space="0" w:color="auto"/>
              <w:right w:val="single" w:sz="4" w:space="0" w:color="auto"/>
            </w:tcBorders>
          </w:tcPr>
          <w:p w14:paraId="7D57A9DC" w14:textId="77777777" w:rsidR="00C05FDF" w:rsidRPr="00F36C5E" w:rsidRDefault="00C05FDF" w:rsidP="007E3944">
            <w:pPr>
              <w:pStyle w:val="TextFlush"/>
              <w:spacing w:after="0" w:line="276" w:lineRule="auto"/>
              <w:jc w:val="center"/>
              <w:rPr>
                <w:sz w:val="16"/>
                <w:szCs w:val="16"/>
              </w:rPr>
            </w:pPr>
            <w:r w:rsidRPr="00F36C5E">
              <w:rPr>
                <w:sz w:val="16"/>
                <w:szCs w:val="16"/>
              </w:rPr>
              <w:t>asylum</w:t>
            </w:r>
            <w:r w:rsidRPr="00F36C5E">
              <w:rPr>
                <w:sz w:val="16"/>
                <w:szCs w:val="16"/>
              </w:rPr>
              <w:br/>
              <w:t>grants</w:t>
            </w:r>
          </w:p>
        </w:tc>
        <w:tc>
          <w:tcPr>
            <w:tcW w:w="335" w:type="pct"/>
            <w:tcBorders>
              <w:top w:val="single" w:sz="4" w:space="0" w:color="auto"/>
              <w:left w:val="single" w:sz="4" w:space="0" w:color="auto"/>
              <w:bottom w:val="single" w:sz="4" w:space="0" w:color="auto"/>
              <w:right w:val="single" w:sz="4" w:space="0" w:color="auto"/>
            </w:tcBorders>
            <w:vAlign w:val="center"/>
          </w:tcPr>
          <w:p w14:paraId="271C4E24" w14:textId="77777777" w:rsidR="00C05FDF" w:rsidRPr="00F36C5E" w:rsidRDefault="00C05FDF" w:rsidP="007E3944">
            <w:pPr>
              <w:pStyle w:val="TextFlush"/>
              <w:spacing w:after="0" w:line="276" w:lineRule="auto"/>
              <w:jc w:val="center"/>
              <w:rPr>
                <w:sz w:val="16"/>
                <w:szCs w:val="16"/>
              </w:rPr>
            </w:pPr>
            <w:r w:rsidRPr="00F36C5E">
              <w:rPr>
                <w:sz w:val="16"/>
                <w:szCs w:val="16"/>
              </w:rPr>
              <w:t>13304 44%</w:t>
            </w:r>
          </w:p>
        </w:tc>
        <w:tc>
          <w:tcPr>
            <w:tcW w:w="335" w:type="pct"/>
            <w:tcBorders>
              <w:top w:val="single" w:sz="4" w:space="0" w:color="auto"/>
              <w:left w:val="single" w:sz="4" w:space="0" w:color="auto"/>
              <w:bottom w:val="single" w:sz="4" w:space="0" w:color="auto"/>
              <w:right w:val="single" w:sz="4" w:space="0" w:color="auto"/>
            </w:tcBorders>
            <w:vAlign w:val="center"/>
          </w:tcPr>
          <w:p w14:paraId="03EE803E" w14:textId="77777777" w:rsidR="00C05FDF" w:rsidRPr="00F36C5E" w:rsidRDefault="00C05FDF" w:rsidP="007E3944">
            <w:pPr>
              <w:pStyle w:val="TextFlush"/>
              <w:spacing w:after="0" w:line="276" w:lineRule="auto"/>
              <w:jc w:val="center"/>
              <w:rPr>
                <w:sz w:val="16"/>
                <w:szCs w:val="16"/>
              </w:rPr>
            </w:pPr>
            <w:r w:rsidRPr="00F36C5E">
              <w:rPr>
                <w:sz w:val="16"/>
                <w:szCs w:val="16"/>
              </w:rPr>
              <w:t>12859 45%</w:t>
            </w:r>
          </w:p>
        </w:tc>
        <w:tc>
          <w:tcPr>
            <w:tcW w:w="384" w:type="pct"/>
            <w:tcBorders>
              <w:top w:val="single" w:sz="4" w:space="0" w:color="auto"/>
              <w:left w:val="single" w:sz="4" w:space="0" w:color="auto"/>
              <w:bottom w:val="single" w:sz="4" w:space="0" w:color="auto"/>
              <w:right w:val="single" w:sz="4" w:space="0" w:color="auto"/>
            </w:tcBorders>
            <w:vAlign w:val="center"/>
          </w:tcPr>
          <w:p w14:paraId="6FBA70BC" w14:textId="77777777" w:rsidR="00C05FDF" w:rsidRPr="00F36C5E" w:rsidRDefault="00C05FDF" w:rsidP="007E3944">
            <w:pPr>
              <w:pStyle w:val="TextFlush"/>
              <w:spacing w:after="0" w:line="276" w:lineRule="auto"/>
              <w:jc w:val="center"/>
              <w:rPr>
                <w:sz w:val="16"/>
                <w:szCs w:val="16"/>
              </w:rPr>
            </w:pPr>
            <w:r w:rsidRPr="00F36C5E">
              <w:rPr>
                <w:sz w:val="16"/>
                <w:szCs w:val="16"/>
              </w:rPr>
              <w:t>10892 44%</w:t>
            </w:r>
          </w:p>
        </w:tc>
        <w:tc>
          <w:tcPr>
            <w:tcW w:w="335" w:type="pct"/>
            <w:tcBorders>
              <w:top w:val="single" w:sz="4" w:space="0" w:color="auto"/>
              <w:left w:val="single" w:sz="4" w:space="0" w:color="auto"/>
              <w:bottom w:val="single" w:sz="4" w:space="0" w:color="auto"/>
              <w:right w:val="single" w:sz="4" w:space="0" w:color="auto"/>
            </w:tcBorders>
            <w:vAlign w:val="center"/>
          </w:tcPr>
          <w:p w14:paraId="5E83CE90" w14:textId="77777777" w:rsidR="00C05FDF" w:rsidRPr="00F36C5E" w:rsidRDefault="00C05FDF" w:rsidP="007E3944">
            <w:pPr>
              <w:pStyle w:val="TextFlush"/>
              <w:spacing w:after="0" w:line="276" w:lineRule="auto"/>
              <w:jc w:val="center"/>
              <w:rPr>
                <w:sz w:val="16"/>
                <w:szCs w:val="16"/>
              </w:rPr>
            </w:pPr>
            <w:r w:rsidRPr="00F36C5E">
              <w:rPr>
                <w:sz w:val="16"/>
                <w:szCs w:val="16"/>
              </w:rPr>
              <w:t>10300 47%</w:t>
            </w:r>
          </w:p>
        </w:tc>
        <w:tc>
          <w:tcPr>
            <w:tcW w:w="335" w:type="pct"/>
            <w:tcBorders>
              <w:top w:val="single" w:sz="4" w:space="0" w:color="auto"/>
              <w:left w:val="single" w:sz="4" w:space="0" w:color="auto"/>
              <w:bottom w:val="single" w:sz="4" w:space="0" w:color="auto"/>
              <w:right w:val="single" w:sz="4" w:space="0" w:color="auto"/>
            </w:tcBorders>
            <w:vAlign w:val="center"/>
          </w:tcPr>
          <w:p w14:paraId="0198444E" w14:textId="77777777" w:rsidR="00C05FDF" w:rsidRPr="00F36C5E" w:rsidRDefault="00C05FDF" w:rsidP="007E3944">
            <w:pPr>
              <w:pStyle w:val="TextFlush"/>
              <w:spacing w:after="0" w:line="276" w:lineRule="auto"/>
              <w:jc w:val="center"/>
              <w:rPr>
                <w:sz w:val="16"/>
                <w:szCs w:val="16"/>
              </w:rPr>
            </w:pPr>
            <w:r w:rsidRPr="00F36C5E">
              <w:rPr>
                <w:sz w:val="16"/>
                <w:szCs w:val="16"/>
              </w:rPr>
              <w:t>9904 50%</w:t>
            </w:r>
          </w:p>
        </w:tc>
        <w:tc>
          <w:tcPr>
            <w:tcW w:w="382" w:type="pct"/>
            <w:tcBorders>
              <w:top w:val="single" w:sz="4" w:space="0" w:color="auto"/>
              <w:left w:val="single" w:sz="4" w:space="0" w:color="auto"/>
              <w:bottom w:val="single" w:sz="4" w:space="0" w:color="auto"/>
              <w:right w:val="single" w:sz="4" w:space="0" w:color="auto"/>
            </w:tcBorders>
            <w:vAlign w:val="center"/>
          </w:tcPr>
          <w:p w14:paraId="49811D95" w14:textId="77777777" w:rsidR="00C05FDF" w:rsidRPr="00F36C5E" w:rsidRDefault="00C05FDF" w:rsidP="007E3944">
            <w:pPr>
              <w:pStyle w:val="TextFlush"/>
              <w:spacing w:after="0" w:line="276" w:lineRule="auto"/>
              <w:jc w:val="center"/>
              <w:rPr>
                <w:sz w:val="16"/>
                <w:szCs w:val="16"/>
              </w:rPr>
            </w:pPr>
            <w:r w:rsidRPr="00F36C5E">
              <w:rPr>
                <w:sz w:val="16"/>
                <w:szCs w:val="16"/>
              </w:rPr>
              <w:t>11528 52%</w:t>
            </w:r>
          </w:p>
        </w:tc>
        <w:tc>
          <w:tcPr>
            <w:tcW w:w="386" w:type="pct"/>
            <w:tcBorders>
              <w:top w:val="single" w:sz="4" w:space="0" w:color="auto"/>
              <w:left w:val="single" w:sz="4" w:space="0" w:color="auto"/>
              <w:bottom w:val="single" w:sz="4" w:space="0" w:color="auto"/>
              <w:right w:val="single" w:sz="4" w:space="0" w:color="auto"/>
            </w:tcBorders>
          </w:tcPr>
          <w:p w14:paraId="7958AE46" w14:textId="77777777" w:rsidR="00C05FDF" w:rsidRPr="00F36C5E" w:rsidRDefault="00C05FDF" w:rsidP="007E3944">
            <w:pPr>
              <w:pStyle w:val="TextFlush"/>
              <w:spacing w:after="0" w:line="276" w:lineRule="auto"/>
              <w:jc w:val="center"/>
              <w:rPr>
                <w:sz w:val="16"/>
                <w:szCs w:val="16"/>
              </w:rPr>
            </w:pPr>
            <w:r w:rsidRPr="00F36C5E">
              <w:rPr>
                <w:sz w:val="16"/>
                <w:szCs w:val="16"/>
              </w:rPr>
              <w:t>11978</w:t>
            </w:r>
            <w:r w:rsidRPr="00F36C5E">
              <w:rPr>
                <w:sz w:val="16"/>
                <w:szCs w:val="16"/>
              </w:rPr>
              <w:br/>
              <w:t>55%</w:t>
            </w:r>
          </w:p>
        </w:tc>
        <w:tc>
          <w:tcPr>
            <w:tcW w:w="386" w:type="pct"/>
            <w:tcBorders>
              <w:top w:val="single" w:sz="4" w:space="0" w:color="auto"/>
              <w:left w:val="single" w:sz="4" w:space="0" w:color="auto"/>
              <w:bottom w:val="single" w:sz="4" w:space="0" w:color="auto"/>
              <w:right w:val="single" w:sz="4" w:space="0" w:color="auto"/>
            </w:tcBorders>
          </w:tcPr>
          <w:p w14:paraId="5A22B43B" w14:textId="77777777" w:rsidR="00C05FDF" w:rsidRPr="00F36C5E" w:rsidRDefault="00C05FDF" w:rsidP="007E3944">
            <w:pPr>
              <w:pStyle w:val="TextFlush"/>
              <w:spacing w:after="0" w:line="276" w:lineRule="auto"/>
              <w:jc w:val="center"/>
              <w:rPr>
                <w:sz w:val="16"/>
                <w:szCs w:val="16"/>
              </w:rPr>
            </w:pPr>
            <w:r w:rsidRPr="00F36C5E">
              <w:rPr>
                <w:sz w:val="16"/>
                <w:szCs w:val="16"/>
              </w:rPr>
              <w:t>9,753 61%</w:t>
            </w:r>
          </w:p>
        </w:tc>
        <w:tc>
          <w:tcPr>
            <w:tcW w:w="386" w:type="pct"/>
            <w:tcBorders>
              <w:top w:val="single" w:sz="4" w:space="0" w:color="auto"/>
              <w:left w:val="single" w:sz="4" w:space="0" w:color="auto"/>
              <w:bottom w:val="single" w:sz="4" w:space="0" w:color="auto"/>
              <w:right w:val="single" w:sz="4" w:space="0" w:color="auto"/>
            </w:tcBorders>
          </w:tcPr>
          <w:p w14:paraId="00691E91" w14:textId="77777777" w:rsidR="00C05FDF" w:rsidRPr="00F36C5E" w:rsidRDefault="00C05FDF" w:rsidP="007E3944">
            <w:pPr>
              <w:pStyle w:val="TextFlush"/>
              <w:spacing w:after="0" w:line="276" w:lineRule="auto"/>
              <w:jc w:val="center"/>
              <w:rPr>
                <w:sz w:val="16"/>
                <w:szCs w:val="16"/>
              </w:rPr>
            </w:pPr>
            <w:r w:rsidRPr="00F36C5E">
              <w:rPr>
                <w:sz w:val="16"/>
                <w:szCs w:val="16"/>
              </w:rPr>
              <w:t>8,638</w:t>
            </w:r>
            <w:r w:rsidRPr="00F36C5E">
              <w:rPr>
                <w:sz w:val="16"/>
                <w:szCs w:val="16"/>
              </w:rPr>
              <w:br/>
              <w:t>56%</w:t>
            </w:r>
          </w:p>
        </w:tc>
        <w:tc>
          <w:tcPr>
            <w:tcW w:w="386" w:type="pct"/>
            <w:tcBorders>
              <w:top w:val="single" w:sz="4" w:space="0" w:color="auto"/>
              <w:left w:val="single" w:sz="4" w:space="0" w:color="auto"/>
              <w:bottom w:val="single" w:sz="4" w:space="0" w:color="auto"/>
              <w:right w:val="single" w:sz="4" w:space="0" w:color="auto"/>
            </w:tcBorders>
          </w:tcPr>
          <w:p w14:paraId="5BC66010" w14:textId="77777777" w:rsidR="00C05FDF" w:rsidRPr="00F36C5E" w:rsidRDefault="00C05FDF" w:rsidP="007E3944">
            <w:pPr>
              <w:pStyle w:val="TextFlush"/>
              <w:spacing w:after="0" w:line="276" w:lineRule="auto"/>
              <w:jc w:val="center"/>
              <w:rPr>
                <w:sz w:val="16"/>
                <w:szCs w:val="16"/>
              </w:rPr>
            </w:pPr>
            <w:r w:rsidRPr="00F36C5E">
              <w:rPr>
                <w:sz w:val="16"/>
                <w:szCs w:val="16"/>
              </w:rPr>
              <w:t>8,170</w:t>
            </w:r>
            <w:r w:rsidRPr="00F36C5E">
              <w:rPr>
                <w:sz w:val="16"/>
                <w:szCs w:val="16"/>
              </w:rPr>
              <w:br/>
              <w:t>55%</w:t>
            </w:r>
          </w:p>
        </w:tc>
        <w:tc>
          <w:tcPr>
            <w:tcW w:w="386" w:type="pct"/>
            <w:tcBorders>
              <w:top w:val="single" w:sz="4" w:space="0" w:color="auto"/>
              <w:left w:val="single" w:sz="4" w:space="0" w:color="auto"/>
              <w:bottom w:val="single" w:sz="4" w:space="0" w:color="auto"/>
              <w:right w:val="single" w:sz="4" w:space="0" w:color="auto"/>
            </w:tcBorders>
          </w:tcPr>
          <w:p w14:paraId="64603947" w14:textId="77777777" w:rsidR="00C05FDF" w:rsidRPr="00F36C5E" w:rsidRDefault="00C05FDF" w:rsidP="007E3944">
            <w:pPr>
              <w:pStyle w:val="TextFlush"/>
              <w:spacing w:after="0" w:line="276" w:lineRule="auto"/>
              <w:jc w:val="center"/>
              <w:rPr>
                <w:sz w:val="16"/>
                <w:szCs w:val="16"/>
              </w:rPr>
            </w:pPr>
            <w:r w:rsidRPr="00F36C5E">
              <w:rPr>
                <w:sz w:val="16"/>
                <w:szCs w:val="16"/>
              </w:rPr>
              <w:t>8,730</w:t>
            </w:r>
            <w:r w:rsidRPr="00F36C5E">
              <w:rPr>
                <w:sz w:val="16"/>
                <w:szCs w:val="16"/>
              </w:rPr>
              <w:br/>
              <w:t>48%</w:t>
            </w:r>
          </w:p>
        </w:tc>
        <w:tc>
          <w:tcPr>
            <w:tcW w:w="386" w:type="pct"/>
            <w:tcBorders>
              <w:top w:val="single" w:sz="4" w:space="0" w:color="auto"/>
              <w:left w:val="single" w:sz="4" w:space="0" w:color="auto"/>
              <w:bottom w:val="single" w:sz="4" w:space="0" w:color="auto"/>
              <w:right w:val="single" w:sz="4" w:space="0" w:color="auto"/>
            </w:tcBorders>
          </w:tcPr>
          <w:p w14:paraId="5A823D7F" w14:textId="77777777" w:rsidR="00C05FDF" w:rsidRPr="00F36C5E" w:rsidRDefault="00C05FDF" w:rsidP="007E3944">
            <w:pPr>
              <w:pStyle w:val="TextFlush"/>
              <w:spacing w:after="0" w:line="276" w:lineRule="auto"/>
              <w:jc w:val="center"/>
              <w:rPr>
                <w:sz w:val="16"/>
                <w:szCs w:val="16"/>
              </w:rPr>
            </w:pPr>
            <w:r w:rsidRPr="00F36C5E">
              <w:rPr>
                <w:sz w:val="16"/>
                <w:szCs w:val="16"/>
              </w:rPr>
              <w:t>10,654</w:t>
            </w:r>
          </w:p>
          <w:p w14:paraId="517E0FC5" w14:textId="77777777" w:rsidR="00C05FDF" w:rsidRPr="00F36C5E" w:rsidRDefault="00C05FDF" w:rsidP="007E3944">
            <w:pPr>
              <w:pStyle w:val="TextParagraph"/>
              <w:ind w:firstLine="0"/>
              <w:jc w:val="center"/>
              <w:rPr>
                <w:sz w:val="16"/>
                <w:szCs w:val="16"/>
              </w:rPr>
            </w:pPr>
            <w:r w:rsidRPr="00F36C5E">
              <w:rPr>
                <w:sz w:val="16"/>
                <w:szCs w:val="16"/>
              </w:rPr>
              <w:t>38%</w:t>
            </w:r>
          </w:p>
        </w:tc>
      </w:tr>
      <w:tr w:rsidR="00C05FDF" w:rsidRPr="00E53E52" w14:paraId="64ADCBF7" w14:textId="77777777" w:rsidTr="00F36C5E">
        <w:trPr>
          <w:jc w:val="center"/>
        </w:trPr>
        <w:tc>
          <w:tcPr>
            <w:tcW w:w="580" w:type="pct"/>
            <w:tcBorders>
              <w:top w:val="single" w:sz="4" w:space="0" w:color="auto"/>
              <w:left w:val="single" w:sz="4" w:space="0" w:color="auto"/>
              <w:bottom w:val="single" w:sz="4" w:space="0" w:color="auto"/>
              <w:right w:val="single" w:sz="4" w:space="0" w:color="auto"/>
            </w:tcBorders>
          </w:tcPr>
          <w:p w14:paraId="0406362B" w14:textId="77777777" w:rsidR="00C05FDF" w:rsidRPr="00F36C5E" w:rsidRDefault="00C05FDF" w:rsidP="007E3944">
            <w:pPr>
              <w:pStyle w:val="TextFlush"/>
              <w:spacing w:after="0" w:line="276" w:lineRule="auto"/>
              <w:jc w:val="center"/>
              <w:rPr>
                <w:sz w:val="16"/>
                <w:szCs w:val="16"/>
              </w:rPr>
            </w:pPr>
            <w:r w:rsidRPr="00F36C5E">
              <w:rPr>
                <w:sz w:val="16"/>
                <w:szCs w:val="16"/>
              </w:rPr>
              <w:t>total</w:t>
            </w:r>
          </w:p>
        </w:tc>
        <w:tc>
          <w:tcPr>
            <w:tcW w:w="335" w:type="pct"/>
            <w:tcBorders>
              <w:top w:val="single" w:sz="4" w:space="0" w:color="auto"/>
              <w:left w:val="single" w:sz="4" w:space="0" w:color="auto"/>
              <w:bottom w:val="single" w:sz="4" w:space="0" w:color="auto"/>
              <w:right w:val="single" w:sz="4" w:space="0" w:color="auto"/>
            </w:tcBorders>
          </w:tcPr>
          <w:p w14:paraId="7D58CF88" w14:textId="77777777" w:rsidR="00C05FDF" w:rsidRPr="00F36C5E" w:rsidRDefault="00C05FDF" w:rsidP="007E3944">
            <w:pPr>
              <w:pStyle w:val="TextFlush"/>
              <w:spacing w:after="0" w:line="276" w:lineRule="auto"/>
              <w:jc w:val="center"/>
              <w:rPr>
                <w:sz w:val="16"/>
                <w:szCs w:val="16"/>
              </w:rPr>
            </w:pPr>
            <w:r w:rsidRPr="00F36C5E">
              <w:rPr>
                <w:sz w:val="16"/>
                <w:szCs w:val="16"/>
              </w:rPr>
              <w:t>30327</w:t>
            </w:r>
          </w:p>
        </w:tc>
        <w:tc>
          <w:tcPr>
            <w:tcW w:w="335" w:type="pct"/>
            <w:tcBorders>
              <w:top w:val="single" w:sz="4" w:space="0" w:color="auto"/>
              <w:left w:val="single" w:sz="4" w:space="0" w:color="auto"/>
              <w:bottom w:val="single" w:sz="4" w:space="0" w:color="auto"/>
              <w:right w:val="single" w:sz="4" w:space="0" w:color="auto"/>
            </w:tcBorders>
          </w:tcPr>
          <w:p w14:paraId="531E9249" w14:textId="77777777" w:rsidR="00C05FDF" w:rsidRPr="00F36C5E" w:rsidRDefault="00C05FDF" w:rsidP="007E3944">
            <w:pPr>
              <w:pStyle w:val="TextFlush"/>
              <w:spacing w:after="0" w:line="276" w:lineRule="auto"/>
              <w:jc w:val="center"/>
              <w:rPr>
                <w:sz w:val="16"/>
                <w:szCs w:val="16"/>
              </w:rPr>
            </w:pPr>
            <w:r w:rsidRPr="00F36C5E">
              <w:rPr>
                <w:sz w:val="16"/>
                <w:szCs w:val="16"/>
              </w:rPr>
              <w:t>28462</w:t>
            </w:r>
          </w:p>
        </w:tc>
        <w:tc>
          <w:tcPr>
            <w:tcW w:w="384" w:type="pct"/>
            <w:tcBorders>
              <w:top w:val="single" w:sz="4" w:space="0" w:color="auto"/>
              <w:left w:val="single" w:sz="4" w:space="0" w:color="auto"/>
              <w:bottom w:val="single" w:sz="4" w:space="0" w:color="auto"/>
              <w:right w:val="single" w:sz="4" w:space="0" w:color="auto"/>
            </w:tcBorders>
          </w:tcPr>
          <w:p w14:paraId="56DEDA5A" w14:textId="77777777" w:rsidR="00C05FDF" w:rsidRPr="00F36C5E" w:rsidRDefault="00C05FDF" w:rsidP="007E3944">
            <w:pPr>
              <w:pStyle w:val="TextFlush"/>
              <w:spacing w:after="0" w:line="276" w:lineRule="auto"/>
              <w:jc w:val="center"/>
              <w:rPr>
                <w:sz w:val="16"/>
                <w:szCs w:val="16"/>
              </w:rPr>
            </w:pPr>
            <w:r w:rsidRPr="00F36C5E">
              <w:rPr>
                <w:sz w:val="16"/>
                <w:szCs w:val="16"/>
              </w:rPr>
              <w:t>24579</w:t>
            </w:r>
          </w:p>
        </w:tc>
        <w:tc>
          <w:tcPr>
            <w:tcW w:w="335" w:type="pct"/>
            <w:tcBorders>
              <w:top w:val="single" w:sz="4" w:space="0" w:color="auto"/>
              <w:left w:val="single" w:sz="4" w:space="0" w:color="auto"/>
              <w:bottom w:val="single" w:sz="4" w:space="0" w:color="auto"/>
              <w:right w:val="single" w:sz="4" w:space="0" w:color="auto"/>
            </w:tcBorders>
          </w:tcPr>
          <w:p w14:paraId="3E6B94C0" w14:textId="77777777" w:rsidR="00C05FDF" w:rsidRPr="00F36C5E" w:rsidRDefault="00C05FDF" w:rsidP="007E3944">
            <w:pPr>
              <w:pStyle w:val="TextFlush"/>
              <w:spacing w:after="0" w:line="276" w:lineRule="auto"/>
              <w:jc w:val="center"/>
              <w:rPr>
                <w:sz w:val="16"/>
                <w:szCs w:val="16"/>
              </w:rPr>
            </w:pPr>
            <w:r w:rsidRPr="00F36C5E">
              <w:rPr>
                <w:sz w:val="16"/>
                <w:szCs w:val="16"/>
              </w:rPr>
              <w:t>21911</w:t>
            </w:r>
          </w:p>
        </w:tc>
        <w:tc>
          <w:tcPr>
            <w:tcW w:w="335" w:type="pct"/>
            <w:tcBorders>
              <w:top w:val="single" w:sz="4" w:space="0" w:color="auto"/>
              <w:left w:val="single" w:sz="4" w:space="0" w:color="auto"/>
              <w:bottom w:val="single" w:sz="4" w:space="0" w:color="auto"/>
              <w:right w:val="single" w:sz="4" w:space="0" w:color="auto"/>
            </w:tcBorders>
          </w:tcPr>
          <w:p w14:paraId="40364C5D" w14:textId="77777777" w:rsidR="00C05FDF" w:rsidRPr="00F36C5E" w:rsidRDefault="00C05FDF" w:rsidP="007E3944">
            <w:pPr>
              <w:pStyle w:val="TextFlush"/>
              <w:spacing w:after="0" w:line="276" w:lineRule="auto"/>
              <w:jc w:val="center"/>
              <w:rPr>
                <w:sz w:val="16"/>
                <w:szCs w:val="16"/>
              </w:rPr>
            </w:pPr>
            <w:r w:rsidRPr="00F36C5E">
              <w:rPr>
                <w:sz w:val="16"/>
                <w:szCs w:val="16"/>
              </w:rPr>
              <w:t>19707</w:t>
            </w:r>
          </w:p>
        </w:tc>
        <w:tc>
          <w:tcPr>
            <w:tcW w:w="382" w:type="pct"/>
            <w:tcBorders>
              <w:top w:val="single" w:sz="4" w:space="0" w:color="auto"/>
              <w:left w:val="single" w:sz="4" w:space="0" w:color="auto"/>
              <w:bottom w:val="single" w:sz="4" w:space="0" w:color="auto"/>
              <w:right w:val="single" w:sz="4" w:space="0" w:color="auto"/>
            </w:tcBorders>
          </w:tcPr>
          <w:p w14:paraId="7E1C519D" w14:textId="77777777" w:rsidR="00C05FDF" w:rsidRPr="00F36C5E" w:rsidRDefault="00C05FDF" w:rsidP="007E3944">
            <w:pPr>
              <w:pStyle w:val="TextFlush"/>
              <w:spacing w:after="0" w:line="276" w:lineRule="auto"/>
              <w:jc w:val="center"/>
              <w:rPr>
                <w:sz w:val="16"/>
                <w:szCs w:val="16"/>
              </w:rPr>
            </w:pPr>
            <w:r w:rsidRPr="00F36C5E">
              <w:rPr>
                <w:sz w:val="16"/>
                <w:szCs w:val="16"/>
              </w:rPr>
              <w:t>22259</w:t>
            </w:r>
          </w:p>
        </w:tc>
        <w:tc>
          <w:tcPr>
            <w:tcW w:w="386" w:type="pct"/>
            <w:tcBorders>
              <w:top w:val="single" w:sz="4" w:space="0" w:color="auto"/>
              <w:left w:val="single" w:sz="4" w:space="0" w:color="auto"/>
              <w:bottom w:val="single" w:sz="4" w:space="0" w:color="auto"/>
              <w:right w:val="single" w:sz="4" w:space="0" w:color="auto"/>
            </w:tcBorders>
          </w:tcPr>
          <w:p w14:paraId="1F73FF54" w14:textId="77777777" w:rsidR="00C05FDF" w:rsidRPr="00F36C5E" w:rsidRDefault="00C05FDF" w:rsidP="007E3944">
            <w:pPr>
              <w:pStyle w:val="TextFlush"/>
              <w:spacing w:after="0" w:line="276" w:lineRule="auto"/>
              <w:jc w:val="center"/>
              <w:rPr>
                <w:sz w:val="16"/>
                <w:szCs w:val="16"/>
              </w:rPr>
            </w:pPr>
            <w:r w:rsidRPr="00F36C5E">
              <w:rPr>
                <w:sz w:val="16"/>
                <w:szCs w:val="16"/>
              </w:rPr>
              <w:t>21738</w:t>
            </w:r>
          </w:p>
        </w:tc>
        <w:tc>
          <w:tcPr>
            <w:tcW w:w="386" w:type="pct"/>
            <w:tcBorders>
              <w:top w:val="single" w:sz="4" w:space="0" w:color="auto"/>
              <w:left w:val="single" w:sz="4" w:space="0" w:color="auto"/>
              <w:bottom w:val="single" w:sz="4" w:space="0" w:color="auto"/>
              <w:right w:val="single" w:sz="4" w:space="0" w:color="auto"/>
            </w:tcBorders>
          </w:tcPr>
          <w:p w14:paraId="401706C4" w14:textId="77777777" w:rsidR="00C05FDF" w:rsidRPr="00F36C5E" w:rsidRDefault="00C05FDF" w:rsidP="007E3944">
            <w:pPr>
              <w:pStyle w:val="TextFlush"/>
              <w:spacing w:after="0" w:line="276" w:lineRule="auto"/>
              <w:jc w:val="center"/>
              <w:rPr>
                <w:sz w:val="16"/>
                <w:szCs w:val="16"/>
              </w:rPr>
            </w:pPr>
            <w:r w:rsidRPr="00F36C5E">
              <w:rPr>
                <w:sz w:val="16"/>
                <w:szCs w:val="16"/>
              </w:rPr>
              <w:t>18675</w:t>
            </w:r>
          </w:p>
        </w:tc>
        <w:tc>
          <w:tcPr>
            <w:tcW w:w="386" w:type="pct"/>
            <w:tcBorders>
              <w:top w:val="single" w:sz="4" w:space="0" w:color="auto"/>
              <w:left w:val="single" w:sz="4" w:space="0" w:color="auto"/>
              <w:bottom w:val="single" w:sz="4" w:space="0" w:color="auto"/>
              <w:right w:val="single" w:sz="4" w:space="0" w:color="auto"/>
            </w:tcBorders>
          </w:tcPr>
          <w:p w14:paraId="4E6B7175" w14:textId="77777777" w:rsidR="00C05FDF" w:rsidRPr="00F36C5E" w:rsidRDefault="00C05FDF" w:rsidP="007E3944">
            <w:pPr>
              <w:pStyle w:val="TextFlush"/>
              <w:spacing w:after="0" w:line="276" w:lineRule="auto"/>
              <w:jc w:val="center"/>
              <w:rPr>
                <w:sz w:val="16"/>
                <w:szCs w:val="16"/>
              </w:rPr>
            </w:pPr>
            <w:r w:rsidRPr="00F36C5E">
              <w:rPr>
                <w:sz w:val="16"/>
                <w:szCs w:val="16"/>
              </w:rPr>
              <w:t>17999</w:t>
            </w:r>
          </w:p>
        </w:tc>
        <w:tc>
          <w:tcPr>
            <w:tcW w:w="386" w:type="pct"/>
            <w:tcBorders>
              <w:top w:val="single" w:sz="4" w:space="0" w:color="auto"/>
              <w:left w:val="single" w:sz="4" w:space="0" w:color="auto"/>
              <w:bottom w:val="single" w:sz="4" w:space="0" w:color="auto"/>
              <w:right w:val="single" w:sz="4" w:space="0" w:color="auto"/>
            </w:tcBorders>
          </w:tcPr>
          <w:p w14:paraId="0AEC70B2" w14:textId="77777777" w:rsidR="00C05FDF" w:rsidRPr="00F36C5E" w:rsidRDefault="00C05FDF" w:rsidP="007E3944">
            <w:pPr>
              <w:pStyle w:val="TextFlush"/>
              <w:spacing w:after="0" w:line="276" w:lineRule="auto"/>
              <w:jc w:val="center"/>
              <w:rPr>
                <w:sz w:val="16"/>
                <w:szCs w:val="16"/>
              </w:rPr>
            </w:pPr>
            <w:r w:rsidRPr="00F36C5E">
              <w:rPr>
                <w:sz w:val="16"/>
                <w:szCs w:val="16"/>
              </w:rPr>
              <w:t>17021</w:t>
            </w:r>
          </w:p>
        </w:tc>
        <w:tc>
          <w:tcPr>
            <w:tcW w:w="386" w:type="pct"/>
            <w:tcBorders>
              <w:top w:val="single" w:sz="4" w:space="0" w:color="auto"/>
              <w:left w:val="single" w:sz="4" w:space="0" w:color="auto"/>
              <w:bottom w:val="single" w:sz="4" w:space="0" w:color="auto"/>
              <w:right w:val="single" w:sz="4" w:space="0" w:color="auto"/>
            </w:tcBorders>
          </w:tcPr>
          <w:p w14:paraId="2BAC1250" w14:textId="77777777" w:rsidR="00C05FDF" w:rsidRPr="00F36C5E" w:rsidRDefault="00C05FDF" w:rsidP="007E3944">
            <w:pPr>
              <w:pStyle w:val="TextFlush"/>
              <w:spacing w:after="0" w:line="276" w:lineRule="auto"/>
              <w:jc w:val="center"/>
              <w:rPr>
                <w:sz w:val="16"/>
                <w:szCs w:val="16"/>
              </w:rPr>
            </w:pPr>
            <w:r w:rsidRPr="00F36C5E">
              <w:rPr>
                <w:sz w:val="16"/>
                <w:szCs w:val="16"/>
              </w:rPr>
              <w:t>20507</w:t>
            </w:r>
          </w:p>
        </w:tc>
        <w:tc>
          <w:tcPr>
            <w:tcW w:w="386" w:type="pct"/>
            <w:tcBorders>
              <w:top w:val="single" w:sz="4" w:space="0" w:color="auto"/>
              <w:left w:val="single" w:sz="4" w:space="0" w:color="auto"/>
              <w:bottom w:val="single" w:sz="4" w:space="0" w:color="auto"/>
              <w:right w:val="single" w:sz="4" w:space="0" w:color="auto"/>
            </w:tcBorders>
          </w:tcPr>
          <w:p w14:paraId="03476301" w14:textId="77777777" w:rsidR="00C05FDF" w:rsidRPr="00F36C5E" w:rsidRDefault="00C05FDF" w:rsidP="007E3944">
            <w:pPr>
              <w:pStyle w:val="TextFlush"/>
              <w:spacing w:after="0" w:line="276" w:lineRule="auto"/>
              <w:jc w:val="center"/>
              <w:rPr>
                <w:sz w:val="16"/>
                <w:szCs w:val="16"/>
              </w:rPr>
            </w:pPr>
            <w:r w:rsidRPr="00F36C5E">
              <w:rPr>
                <w:sz w:val="16"/>
                <w:szCs w:val="16"/>
              </w:rPr>
              <w:t>28116</w:t>
            </w:r>
          </w:p>
        </w:tc>
      </w:tr>
    </w:tbl>
    <w:p w14:paraId="7A76C22F" w14:textId="77777777" w:rsidR="00C05FDF" w:rsidRPr="00E53E52" w:rsidRDefault="00C05FDF" w:rsidP="00C05FDF">
      <w:pPr>
        <w:spacing w:before="240"/>
        <w:jc w:val="center"/>
        <w:rPr>
          <w:rFonts w:ascii="Century Schoolbook" w:hAnsi="Century Schoolbook" w:cs="Times New Roman"/>
          <w:sz w:val="18"/>
        </w:rPr>
      </w:pPr>
      <w:r w:rsidRPr="00E53E52">
        <w:rPr>
          <w:rFonts w:ascii="Century Schoolbook" w:hAnsi="Century Schoolbook" w:cs="Times New Roman"/>
          <w:sz w:val="18"/>
        </w:rPr>
        <w:t>Source: EOIR Statistical Year Books 2006-2017, Figure 22.</w:t>
      </w:r>
    </w:p>
    <w:p w14:paraId="15AC4D5A" w14:textId="7FFED799" w:rsidR="00600B97" w:rsidRPr="00E53E52" w:rsidRDefault="00600B97" w:rsidP="001D1D6E">
      <w:pPr>
        <w:spacing w:after="120"/>
        <w:rPr>
          <w:rFonts w:ascii="Century Schoolbook" w:hAnsi="Century Schoolbook"/>
          <w:color w:val="000000"/>
        </w:rPr>
      </w:pPr>
      <w:r w:rsidRPr="00E53E52">
        <w:rPr>
          <w:rFonts w:ascii="Century Schoolbook" w:hAnsi="Century Schoolbook"/>
          <w:color w:val="000000"/>
        </w:rPr>
        <w:br w:type="page"/>
      </w:r>
    </w:p>
    <w:p w14:paraId="273B3500" w14:textId="73F9ACD3" w:rsidR="00CB6454" w:rsidRPr="00E53E52" w:rsidRDefault="00CB6454" w:rsidP="001D1D6E">
      <w:pPr>
        <w:spacing w:after="120"/>
        <w:jc w:val="center"/>
        <w:outlineLvl w:val="0"/>
        <w:rPr>
          <w:rFonts w:ascii="Century Schoolbook" w:hAnsi="Century Schoolbook"/>
          <w:b/>
          <w:caps/>
        </w:rPr>
      </w:pPr>
      <w:r w:rsidRPr="00E53E52">
        <w:rPr>
          <w:rFonts w:ascii="Century Schoolbook" w:hAnsi="Century Schoolbook"/>
          <w:b/>
          <w:caps/>
        </w:rPr>
        <w:lastRenderedPageBreak/>
        <w:t>CHAPTER THREE</w:t>
      </w:r>
    </w:p>
    <w:p w14:paraId="256D08B5" w14:textId="77777777" w:rsidR="00CB6454" w:rsidRPr="00E53E52" w:rsidRDefault="00CB6454" w:rsidP="001D1D6E">
      <w:pPr>
        <w:spacing w:after="120"/>
        <w:jc w:val="center"/>
        <w:rPr>
          <w:rFonts w:ascii="Century Schoolbook" w:hAnsi="Century Schoolbook"/>
          <w:b/>
          <w:caps/>
        </w:rPr>
      </w:pPr>
      <w:r w:rsidRPr="00E53E52">
        <w:rPr>
          <w:rFonts w:ascii="Century Schoolbook" w:hAnsi="Century Schoolbook"/>
          <w:b/>
          <w:caps/>
        </w:rPr>
        <w:t>PERSECUTION</w:t>
      </w:r>
    </w:p>
    <w:p w14:paraId="40284124" w14:textId="77777777" w:rsidR="001B296E" w:rsidRPr="00E53E52" w:rsidRDefault="00325552" w:rsidP="001D1D6E">
      <w:pPr>
        <w:suppressAutoHyphens/>
        <w:spacing w:after="120"/>
        <w:rPr>
          <w:rFonts w:ascii="Century Schoolbook" w:hAnsi="Century Schoolbook"/>
          <w:b/>
          <w:color w:val="000000"/>
        </w:rPr>
      </w:pPr>
      <w:r w:rsidRPr="00E53E52">
        <w:rPr>
          <w:rFonts w:ascii="Century Schoolbook" w:hAnsi="Century Schoolbook"/>
          <w:b/>
          <w:color w:val="000000"/>
        </w:rPr>
        <w:t>p. 1</w:t>
      </w:r>
      <w:r w:rsidR="001B296E" w:rsidRPr="00E53E52">
        <w:rPr>
          <w:rFonts w:ascii="Century Schoolbook" w:hAnsi="Century Schoolbook"/>
          <w:b/>
          <w:color w:val="000000"/>
        </w:rPr>
        <w:t>76, at end of carryover paragraph, add new Note 3:</w:t>
      </w:r>
    </w:p>
    <w:p w14:paraId="6357E8BA" w14:textId="77777777" w:rsidR="001B296E" w:rsidRPr="00E53E52" w:rsidRDefault="001B296E" w:rsidP="0036367F">
      <w:pPr>
        <w:spacing w:after="120"/>
        <w:ind w:firstLine="720"/>
        <w:jc w:val="both"/>
        <w:rPr>
          <w:rFonts w:ascii="Century Schoolbook" w:hAnsi="Century Schoolbook"/>
          <w:color w:val="000000"/>
        </w:rPr>
      </w:pPr>
      <w:r w:rsidRPr="00E53E52">
        <w:rPr>
          <w:rFonts w:ascii="Century Schoolbook" w:hAnsi="Century Schoolbook"/>
          <w:color w:val="000000"/>
        </w:rPr>
        <w:t>3</w:t>
      </w:r>
      <w:r w:rsidR="00027B0C" w:rsidRPr="00E53E52">
        <w:rPr>
          <w:rFonts w:ascii="Century Schoolbook" w:hAnsi="Century Schoolbook"/>
          <w:color w:val="000000"/>
        </w:rPr>
        <w:t xml:space="preserve">. </w:t>
      </w:r>
      <w:r w:rsidRPr="00E53E52">
        <w:rPr>
          <w:rFonts w:ascii="Century Schoolbook" w:hAnsi="Century Schoolbook"/>
          <w:color w:val="000000"/>
        </w:rPr>
        <w:t>In December 2013, UNHCR issued a new set of guidelines concerning refugee claims by individuals seeking to avoid recruitment by and service in military forces, including forced recruitment by non-</w:t>
      </w:r>
      <w:r w:rsidR="00483222" w:rsidRPr="00E53E52">
        <w:rPr>
          <w:rFonts w:ascii="Century Schoolbook" w:hAnsi="Century Schoolbook"/>
          <w:color w:val="000000"/>
        </w:rPr>
        <w:t>government</w:t>
      </w:r>
      <w:r w:rsidRPr="00E53E52">
        <w:rPr>
          <w:rFonts w:ascii="Century Schoolbook" w:hAnsi="Century Schoolbook"/>
          <w:color w:val="000000"/>
        </w:rPr>
        <w:t xml:space="preserve"> armed militias</w:t>
      </w:r>
      <w:r w:rsidR="00027B0C" w:rsidRPr="00E53E52">
        <w:rPr>
          <w:rFonts w:ascii="Century Schoolbook" w:hAnsi="Century Schoolbook"/>
          <w:color w:val="000000"/>
        </w:rPr>
        <w:t xml:space="preserve">. </w:t>
      </w:r>
      <w:r w:rsidRPr="00E53E52">
        <w:rPr>
          <w:rFonts w:ascii="Century Schoolbook" w:hAnsi="Century Schoolbook"/>
          <w:color w:val="000000"/>
        </w:rPr>
        <w:t xml:space="preserve">UNHCR, Guidelines on International Protection No. 10: Claims to Refugee Status related to Military Service within the context of Article 1A(2) of the 1951 Convention and/or its 1967 Protocol relating to the Status of Refugees, </w:t>
      </w:r>
      <w:r w:rsidR="00536CBA" w:rsidRPr="00E53E52">
        <w:rPr>
          <w:rFonts w:ascii="Century Schoolbook" w:hAnsi="Century Schoolbook"/>
          <w:color w:val="000000"/>
        </w:rPr>
        <w:t>http://unhcr.org/trends2013/.</w:t>
      </w:r>
    </w:p>
    <w:p w14:paraId="3E8821EE" w14:textId="5F720BCA" w:rsidR="00325552" w:rsidRPr="00E53E52" w:rsidRDefault="001B296E" w:rsidP="001D1D6E">
      <w:pPr>
        <w:suppressAutoHyphens/>
        <w:spacing w:after="120"/>
        <w:rPr>
          <w:rFonts w:ascii="Century Schoolbook" w:hAnsi="Century Schoolbook"/>
          <w:b/>
          <w:color w:val="000000"/>
        </w:rPr>
      </w:pPr>
      <w:r w:rsidRPr="00E53E52">
        <w:rPr>
          <w:rFonts w:ascii="Century Schoolbook" w:hAnsi="Century Schoolbook"/>
          <w:b/>
          <w:color w:val="000000"/>
        </w:rPr>
        <w:t>p. 1</w:t>
      </w:r>
      <w:r w:rsidR="00325552" w:rsidRPr="00E53E52">
        <w:rPr>
          <w:rFonts w:ascii="Century Schoolbook" w:hAnsi="Century Schoolbook"/>
          <w:b/>
          <w:color w:val="000000"/>
        </w:rPr>
        <w:t xml:space="preserve">85, at end of </w:t>
      </w:r>
      <w:r w:rsidR="008374CF" w:rsidRPr="00E53E52">
        <w:rPr>
          <w:rFonts w:ascii="Century Schoolbook" w:hAnsi="Century Schoolbook"/>
          <w:b/>
          <w:color w:val="000000"/>
        </w:rPr>
        <w:t>current Notes,</w:t>
      </w:r>
      <w:r w:rsidR="00325552" w:rsidRPr="00E53E52">
        <w:rPr>
          <w:rFonts w:ascii="Century Schoolbook" w:hAnsi="Century Schoolbook"/>
          <w:b/>
          <w:color w:val="000000"/>
        </w:rPr>
        <w:t xml:space="preserve"> a</w:t>
      </w:r>
      <w:r w:rsidRPr="00E53E52">
        <w:rPr>
          <w:rFonts w:ascii="Century Schoolbook" w:hAnsi="Century Schoolbook"/>
          <w:b/>
          <w:color w:val="000000"/>
        </w:rPr>
        <w:t>dd</w:t>
      </w:r>
      <w:r w:rsidR="00325552" w:rsidRPr="00E53E52">
        <w:rPr>
          <w:rFonts w:ascii="Century Schoolbook" w:hAnsi="Century Schoolbook"/>
          <w:b/>
          <w:color w:val="000000"/>
        </w:rPr>
        <w:t xml:space="preserve"> </w:t>
      </w:r>
      <w:r w:rsidR="0057762A" w:rsidRPr="00E53E52">
        <w:rPr>
          <w:rFonts w:ascii="Century Schoolbook" w:hAnsi="Century Schoolbook"/>
          <w:b/>
          <w:color w:val="000000"/>
        </w:rPr>
        <w:t xml:space="preserve">new </w:t>
      </w:r>
      <w:r w:rsidR="00325552" w:rsidRPr="00E53E52">
        <w:rPr>
          <w:rFonts w:ascii="Century Schoolbook" w:hAnsi="Century Schoolbook"/>
          <w:b/>
          <w:color w:val="000000"/>
        </w:rPr>
        <w:t>Note 3:</w:t>
      </w:r>
    </w:p>
    <w:p w14:paraId="078A72B1" w14:textId="51BDD656" w:rsidR="00325552" w:rsidRPr="00E53E52" w:rsidRDefault="008374CF" w:rsidP="0036367F">
      <w:pPr>
        <w:spacing w:after="120"/>
        <w:ind w:firstLine="720"/>
        <w:jc w:val="both"/>
        <w:rPr>
          <w:rFonts w:ascii="Century Schoolbook" w:hAnsi="Century Schoolbook" w:cs="Times New Roman"/>
        </w:rPr>
      </w:pPr>
      <w:r w:rsidRPr="00E53E52">
        <w:rPr>
          <w:rFonts w:ascii="Century Schoolbook" w:hAnsi="Century Schoolbook"/>
          <w:color w:val="000000"/>
        </w:rPr>
        <w:t>3</w:t>
      </w:r>
      <w:r w:rsidR="00027B0C" w:rsidRPr="00E53E52">
        <w:rPr>
          <w:rFonts w:ascii="Century Schoolbook" w:hAnsi="Century Schoolbook"/>
          <w:color w:val="000000"/>
        </w:rPr>
        <w:t xml:space="preserve">. </w:t>
      </w:r>
      <w:r w:rsidR="00325552" w:rsidRPr="00E53E52">
        <w:rPr>
          <w:rFonts w:ascii="Century Schoolbook" w:hAnsi="Century Schoolbook"/>
          <w:color w:val="000000"/>
        </w:rPr>
        <w:t xml:space="preserve">In July 2014 the First Circuit had occasion to examine the intersection of past persecution and humanitarian asylum in a case that arose out of the decades-long civil war in Guatemala, </w:t>
      </w:r>
      <w:r w:rsidR="00325552" w:rsidRPr="00E53E52">
        <w:rPr>
          <w:rFonts w:ascii="Century Schoolbook" w:hAnsi="Century Schoolbook"/>
          <w:i/>
          <w:color w:val="000000"/>
        </w:rPr>
        <w:t>Ordonez-Quino v. Holder</w:t>
      </w:r>
      <w:r w:rsidR="00325552" w:rsidRPr="00E53E52">
        <w:rPr>
          <w:rFonts w:ascii="Century Schoolbook" w:hAnsi="Century Schoolbook"/>
          <w:color w:val="000000"/>
        </w:rPr>
        <w:t xml:space="preserve">, </w:t>
      </w:r>
      <w:r w:rsidR="001569AC" w:rsidRPr="00E53E52">
        <w:rPr>
          <w:rFonts w:ascii="Century Schoolbook" w:hAnsi="Century Schoolbook"/>
          <w:color w:val="000000"/>
        </w:rPr>
        <w:t xml:space="preserve">760 </w:t>
      </w:r>
      <w:r w:rsidR="00325552" w:rsidRPr="00E53E52">
        <w:rPr>
          <w:rFonts w:ascii="Century Schoolbook" w:hAnsi="Century Schoolbook" w:cs="Arial"/>
          <w:bCs/>
          <w:color w:val="555555"/>
        </w:rPr>
        <w:t xml:space="preserve">F.3d </w:t>
      </w:r>
      <w:r w:rsidR="001569AC" w:rsidRPr="00E53E52">
        <w:rPr>
          <w:rFonts w:ascii="Century Schoolbook" w:hAnsi="Century Schoolbook" w:cs="Arial"/>
          <w:bCs/>
          <w:color w:val="555555"/>
        </w:rPr>
        <w:t xml:space="preserve">80 </w:t>
      </w:r>
      <w:r w:rsidR="00F04EAF" w:rsidRPr="00E53E52">
        <w:rPr>
          <w:rFonts w:ascii="Century Schoolbook" w:hAnsi="Century Schoolbook" w:cs="Georgia"/>
          <w:color w:val="000000"/>
        </w:rPr>
        <w:t>(1st Cir. 2014)</w:t>
      </w:r>
      <w:r w:rsidR="00325552" w:rsidRPr="00E53E52">
        <w:rPr>
          <w:rFonts w:ascii="Century Schoolbook" w:hAnsi="Century Schoolbook"/>
        </w:rPr>
        <w:t>.</w:t>
      </w:r>
      <w:r w:rsidR="00325552" w:rsidRPr="00E53E52">
        <w:rPr>
          <w:rFonts w:ascii="Century Schoolbook" w:hAnsi="Century Schoolbook"/>
          <w:color w:val="000000"/>
        </w:rPr>
        <w:t xml:space="preserve"> Relying heavily on the report issued by the Guatemala Truth Commission, </w:t>
      </w:r>
      <w:r w:rsidR="00325552" w:rsidRPr="00E53E52">
        <w:rPr>
          <w:rFonts w:ascii="Century Schoolbook" w:hAnsi="Century Schoolbook" w:cs="Times New Roman"/>
        </w:rPr>
        <w:t>Commission of Historical Clarification, Guatemala Memory of Silence: Report Conclusions and Recommendations, Conclusions, ¶¶</w:t>
      </w:r>
      <w:r w:rsidR="006F6BEB" w:rsidRPr="00E53E52">
        <w:rPr>
          <w:rFonts w:ascii="Century Schoolbook" w:hAnsi="Century Schoolbook" w:cs="Times New Roman"/>
        </w:rPr>
        <w:t>38—41 (1999), http://www.aaas.</w:t>
      </w:r>
      <w:r w:rsidR="00325552" w:rsidRPr="00E53E52">
        <w:rPr>
          <w:rFonts w:ascii="Century Schoolbook" w:hAnsi="Century Schoolbook" w:cs="Times New Roman"/>
        </w:rPr>
        <w:t>org/sites/default/</w:t>
      </w:r>
      <w:r w:rsidR="006F6BEB" w:rsidRPr="00E53E52">
        <w:rPr>
          <w:rFonts w:ascii="Century Schoolbook" w:hAnsi="Century Schoolbook" w:cs="Times New Roman"/>
        </w:rPr>
        <w:t>files/migrate/uploads/mosen.pdf</w:t>
      </w:r>
      <w:r w:rsidR="00325552" w:rsidRPr="00E53E52">
        <w:rPr>
          <w:rFonts w:ascii="Century Schoolbook" w:hAnsi="Century Schoolbook" w:cs="Times New Roman"/>
        </w:rPr>
        <w:t>, the court overturned the Immigration Judge</w:t>
      </w:r>
      <w:r w:rsidR="00C909C4" w:rsidRPr="00E53E52">
        <w:rPr>
          <w:rFonts w:ascii="Century Schoolbook" w:hAnsi="Century Schoolbook" w:cs="Times New Roman"/>
        </w:rPr>
        <w:t>’</w:t>
      </w:r>
      <w:r w:rsidR="00325552" w:rsidRPr="00E53E52">
        <w:rPr>
          <w:rFonts w:ascii="Century Schoolbook" w:hAnsi="Century Schoolbook" w:cs="Times New Roman"/>
        </w:rPr>
        <w:t>s and the BIA</w:t>
      </w:r>
      <w:r w:rsidR="00C909C4" w:rsidRPr="00E53E52">
        <w:rPr>
          <w:rFonts w:ascii="Century Schoolbook" w:hAnsi="Century Schoolbook" w:cs="Times New Roman"/>
        </w:rPr>
        <w:t>’</w:t>
      </w:r>
      <w:r w:rsidR="00325552" w:rsidRPr="00E53E52">
        <w:rPr>
          <w:rFonts w:ascii="Century Schoolbook" w:hAnsi="Century Schoolbook" w:cs="Times New Roman"/>
        </w:rPr>
        <w:t>s conclusion that the applicant had not been a target of persecution in the past, but had rather been an unfortunate bystander in a war zone</w:t>
      </w:r>
      <w:r w:rsidR="00027B0C" w:rsidRPr="00E53E52">
        <w:rPr>
          <w:rFonts w:ascii="Century Schoolbook" w:hAnsi="Century Schoolbook" w:cs="Times New Roman"/>
        </w:rPr>
        <w:t xml:space="preserve">. </w:t>
      </w:r>
      <w:r w:rsidR="00325552" w:rsidRPr="00E53E52">
        <w:rPr>
          <w:rFonts w:ascii="Century Schoolbook" w:hAnsi="Century Schoolbook" w:cs="Times New Roman"/>
        </w:rPr>
        <w:t>The First Circuit emphasized the Truth Commission</w:t>
      </w:r>
      <w:r w:rsidR="00C909C4" w:rsidRPr="00E53E52">
        <w:rPr>
          <w:rFonts w:ascii="Century Schoolbook" w:hAnsi="Century Schoolbook" w:cs="Times New Roman"/>
        </w:rPr>
        <w:t>’</w:t>
      </w:r>
      <w:r w:rsidR="00325552" w:rsidRPr="00E53E52">
        <w:rPr>
          <w:rFonts w:ascii="Century Schoolbook" w:hAnsi="Century Schoolbook" w:cs="Times New Roman"/>
        </w:rPr>
        <w:t>s finding that the Guatemalan army had committed genocide against Mayan people in the region where Ordonez-Quino lived</w:t>
      </w:r>
      <w:r w:rsidR="00027B0C" w:rsidRPr="00E53E52">
        <w:rPr>
          <w:rFonts w:ascii="Century Schoolbook" w:hAnsi="Century Schoolbook" w:cs="Times New Roman"/>
        </w:rPr>
        <w:t xml:space="preserve">. </w:t>
      </w:r>
      <w:r w:rsidR="00325552" w:rsidRPr="00E53E52">
        <w:rPr>
          <w:rFonts w:ascii="Century Schoolbook" w:hAnsi="Century Schoolbook" w:cs="Times New Roman"/>
        </w:rPr>
        <w:t>On remand, the court ordered the agency to evaluate whether the harm experienced by Ordonez-Quino, viewed from his perspective as a small child at the time it occurred, constituted past persecution on account of his Mayan ancestry</w:t>
      </w:r>
      <w:r w:rsidR="00027B0C" w:rsidRPr="00E53E52">
        <w:rPr>
          <w:rFonts w:ascii="Century Schoolbook" w:hAnsi="Century Schoolbook" w:cs="Times New Roman"/>
        </w:rPr>
        <w:t xml:space="preserve">. </w:t>
      </w:r>
      <w:r w:rsidR="00325552" w:rsidRPr="00E53E52">
        <w:rPr>
          <w:rFonts w:ascii="Century Schoolbook" w:hAnsi="Century Schoolbook" w:cs="Times New Roman"/>
        </w:rPr>
        <w:t>In addition, the court rejected the argument that Ordonez-Quino had waived his claim to humanitarian asylum because he had not explicitly raised it before the Immigration Judge and ordered this claim to be carefully evaluated on remand</w:t>
      </w:r>
      <w:r w:rsidR="00027B0C" w:rsidRPr="00E53E52">
        <w:rPr>
          <w:rFonts w:ascii="Century Schoolbook" w:hAnsi="Century Schoolbook" w:cs="Times New Roman"/>
        </w:rPr>
        <w:t xml:space="preserve">. </w:t>
      </w:r>
    </w:p>
    <w:p w14:paraId="5A7928AC" w14:textId="5E88418A" w:rsidR="004C7BF6" w:rsidRPr="00E53E52" w:rsidRDefault="004C7BF6" w:rsidP="004C7BF6">
      <w:pPr>
        <w:suppressAutoHyphens/>
        <w:spacing w:after="120"/>
        <w:rPr>
          <w:rFonts w:ascii="Century Schoolbook" w:hAnsi="Century Schoolbook"/>
          <w:b/>
          <w:color w:val="000000"/>
        </w:rPr>
      </w:pPr>
      <w:r w:rsidRPr="00E53E52">
        <w:rPr>
          <w:rFonts w:ascii="Century Schoolbook" w:hAnsi="Century Schoolbook"/>
          <w:b/>
          <w:color w:val="000000"/>
        </w:rPr>
        <w:t>p. 246, at end of current Notes, add new Note 5:</w:t>
      </w:r>
    </w:p>
    <w:p w14:paraId="042E8629" w14:textId="04F6764B" w:rsidR="004C7BF6" w:rsidRPr="00E53E52" w:rsidRDefault="004C7BF6" w:rsidP="004C7BF6">
      <w:pPr>
        <w:spacing w:after="120"/>
        <w:ind w:firstLine="720"/>
        <w:jc w:val="both"/>
        <w:rPr>
          <w:rFonts w:ascii="Century Schoolbook" w:hAnsi="Century Schoolbook" w:cs="Times New Roman"/>
        </w:rPr>
      </w:pPr>
      <w:r w:rsidRPr="00E53E52">
        <w:rPr>
          <w:rFonts w:ascii="Century Schoolbook" w:hAnsi="Century Schoolbook" w:cs="Times New Roman"/>
        </w:rPr>
        <w:t xml:space="preserve">5. The Attorney General’s 2018 decision in </w:t>
      </w:r>
      <w:r w:rsidRPr="00E53E52">
        <w:rPr>
          <w:rFonts w:ascii="Century Schoolbook" w:hAnsi="Century Schoolbook" w:cs="Times New Roman"/>
          <w:i/>
        </w:rPr>
        <w:t>Matter of A-B-</w:t>
      </w:r>
      <w:r w:rsidRPr="00E53E52">
        <w:rPr>
          <w:rFonts w:ascii="Century Schoolbook" w:hAnsi="Century Schoolbook" w:cs="Times New Roman"/>
        </w:rPr>
        <w:t xml:space="preserve">, 27 I. &amp; N. Dec. 316 (A.G. 2018), set out below </w:t>
      </w:r>
      <w:r w:rsidRPr="00E53E52">
        <w:rPr>
          <w:rFonts w:ascii="Century Schoolbook" w:hAnsi="Century Schoolbook"/>
        </w:rPr>
        <w:t xml:space="preserve">at the material in this Update for casebook page </w:t>
      </w:r>
      <w:r w:rsidR="00B41D92" w:rsidRPr="00E53E52">
        <w:rPr>
          <w:rFonts w:ascii="Century Schoolbook" w:hAnsi="Century Schoolbook"/>
        </w:rPr>
        <w:t>375</w:t>
      </w:r>
      <w:r w:rsidRPr="00E53E52">
        <w:rPr>
          <w:rFonts w:ascii="Century Schoolbook" w:hAnsi="Century Schoolbook"/>
        </w:rPr>
        <w:t xml:space="preserve">, </w:t>
      </w:r>
      <w:r w:rsidRPr="00E53E52">
        <w:rPr>
          <w:rFonts w:ascii="Century Schoolbook" w:hAnsi="Century Schoolbook" w:cs="Times New Roman"/>
        </w:rPr>
        <w:t>may signal more immigration judge latitude to deny asylum in the exercise of discretion. Footnote 12 of the decision states:</w:t>
      </w:r>
    </w:p>
    <w:p w14:paraId="7AD47C20" w14:textId="2B8B5E2E" w:rsidR="004C7BF6" w:rsidRPr="00E53E52" w:rsidRDefault="004C7BF6" w:rsidP="00653854">
      <w:pPr>
        <w:spacing w:after="120"/>
        <w:ind w:left="432" w:right="432" w:firstLine="720"/>
        <w:jc w:val="both"/>
        <w:rPr>
          <w:rFonts w:ascii="Century Schoolbook" w:hAnsi="Century Schoolbook" w:cs="Times New Roman"/>
        </w:rPr>
      </w:pPr>
      <w:r w:rsidRPr="00E53E52">
        <w:rPr>
          <w:rFonts w:ascii="Century Schoolbook" w:hAnsi="Century Schoolbook" w:cs="Times New Roman"/>
        </w:rPr>
        <w:t xml:space="preserve">Neither the immigration judge nor the Board addressed the issue of discretion regarding the respondent’s asylum application, and I decline to do so in the first instance. Nevertheless, I remind all asylum adjudicators that a favorable exercise of discretion is a discrete requirement for the granting of asylum and should not be presumed or glossed over solely because an applicant otherwise meets the burden of proof for asylum eligibility under the INA. Relevant discretionary factors include, </w:t>
      </w:r>
      <w:r w:rsidRPr="00E53E52">
        <w:rPr>
          <w:rFonts w:ascii="Century Schoolbook" w:hAnsi="Century Schoolbook" w:cs="Times New Roman"/>
          <w:i/>
          <w:iCs/>
        </w:rPr>
        <w:t>inter alia</w:t>
      </w:r>
      <w:r w:rsidRPr="00E53E52">
        <w:rPr>
          <w:rFonts w:ascii="Century Schoolbook" w:hAnsi="Century Schoolbook" w:cs="Times New Roman"/>
        </w:rPr>
        <w:t xml:space="preserve">, the circumvention of orderly refugee procedures; whether the alien passed through any other countries or arrived in the United States directly </w:t>
      </w:r>
      <w:r w:rsidRPr="00E53E52">
        <w:rPr>
          <w:rFonts w:ascii="Century Schoolbook" w:hAnsi="Century Schoolbook" w:cs="Times New Roman"/>
        </w:rPr>
        <w:lastRenderedPageBreak/>
        <w:t xml:space="preserve">from her country; whether orderly refugee procedures were in fact available to help her in any country she passed through; whether she made any attempts to seek asylum before coming to the United States; the length of time the alien remained in a third country; and her living conditions, safety, and potential for long-term residency there. </w:t>
      </w:r>
      <w:r w:rsidRPr="00E53E52">
        <w:rPr>
          <w:rFonts w:ascii="Century Schoolbook" w:hAnsi="Century Schoolbook" w:cs="Times New Roman"/>
          <w:i/>
          <w:iCs/>
        </w:rPr>
        <w:t>See Matter of Pula</w:t>
      </w:r>
      <w:r w:rsidRPr="00E53E52">
        <w:rPr>
          <w:rFonts w:ascii="Century Schoolbook" w:hAnsi="Century Schoolbook" w:cs="Times New Roman"/>
        </w:rPr>
        <w:t>, 19 I&amp;N Dec. 467, 473-74 (BIA 1987).</w:t>
      </w:r>
    </w:p>
    <w:p w14:paraId="655EB1DC" w14:textId="77777777" w:rsidR="00CB6454" w:rsidRPr="00E53E52" w:rsidRDefault="00CB6454" w:rsidP="001D1D6E">
      <w:pPr>
        <w:spacing w:after="120"/>
        <w:rPr>
          <w:rFonts w:ascii="Century Schoolbook" w:hAnsi="Century Schoolbook"/>
          <w:b/>
          <w:caps/>
        </w:rPr>
      </w:pPr>
      <w:r w:rsidRPr="00E53E52">
        <w:rPr>
          <w:rFonts w:ascii="Century Schoolbook" w:hAnsi="Century Schoolbook"/>
          <w:b/>
          <w:caps/>
        </w:rPr>
        <w:br w:type="page"/>
      </w:r>
    </w:p>
    <w:p w14:paraId="7CDA42A6" w14:textId="77777777" w:rsidR="003F248C" w:rsidRPr="00E53E52" w:rsidRDefault="003F248C" w:rsidP="001D1D6E">
      <w:pPr>
        <w:spacing w:after="120"/>
        <w:jc w:val="center"/>
        <w:outlineLvl w:val="0"/>
        <w:rPr>
          <w:rFonts w:ascii="Century Schoolbook" w:hAnsi="Century Schoolbook"/>
          <w:b/>
          <w:caps/>
        </w:rPr>
      </w:pPr>
      <w:r w:rsidRPr="00E53E52">
        <w:rPr>
          <w:rFonts w:ascii="Century Schoolbook" w:hAnsi="Century Schoolbook"/>
          <w:b/>
          <w:caps/>
        </w:rPr>
        <w:lastRenderedPageBreak/>
        <w:t>chapter four</w:t>
      </w:r>
    </w:p>
    <w:p w14:paraId="5C3BD290" w14:textId="77777777" w:rsidR="008433C9" w:rsidRPr="00E53E52" w:rsidRDefault="00CB6454" w:rsidP="001D1D6E">
      <w:pPr>
        <w:spacing w:after="120"/>
        <w:jc w:val="center"/>
        <w:rPr>
          <w:rFonts w:ascii="Century Schoolbook" w:hAnsi="Century Schoolbook"/>
          <w:b/>
          <w:caps/>
        </w:rPr>
      </w:pPr>
      <w:r w:rsidRPr="00E53E52">
        <w:rPr>
          <w:rFonts w:ascii="Century Schoolbook" w:hAnsi="Century Schoolbook"/>
          <w:b/>
          <w:caps/>
        </w:rPr>
        <w:t>GROUNDS OF PERSECUTION</w:t>
      </w:r>
    </w:p>
    <w:p w14:paraId="7E09CCAE" w14:textId="77777777" w:rsidR="00126F17" w:rsidRPr="00E53E52" w:rsidRDefault="00406895" w:rsidP="001D1D6E">
      <w:pPr>
        <w:pStyle w:val="ListParagraph"/>
        <w:numPr>
          <w:ilvl w:val="0"/>
          <w:numId w:val="6"/>
        </w:numPr>
        <w:spacing w:after="120"/>
        <w:rPr>
          <w:rFonts w:ascii="Century Schoolbook" w:hAnsi="Century Schoolbook" w:cs="Times New Roman"/>
          <w:b/>
        </w:rPr>
      </w:pPr>
      <w:r w:rsidRPr="00E53E52">
        <w:rPr>
          <w:rFonts w:ascii="Century Schoolbook" w:hAnsi="Century Schoolbook" w:cs="Times New Roman"/>
          <w:b/>
        </w:rPr>
        <w:t xml:space="preserve"> * * * * </w:t>
      </w:r>
    </w:p>
    <w:p w14:paraId="58FE1E67" w14:textId="2D941FEA" w:rsidR="00406895" w:rsidRPr="00E53E52" w:rsidRDefault="00810FDA" w:rsidP="001D1D6E">
      <w:pPr>
        <w:pStyle w:val="ListParagraph"/>
        <w:numPr>
          <w:ilvl w:val="0"/>
          <w:numId w:val="6"/>
        </w:numPr>
        <w:spacing w:after="120"/>
        <w:rPr>
          <w:rFonts w:ascii="Century Schoolbook" w:hAnsi="Century Schoolbook" w:cs="Times New Roman"/>
          <w:b/>
        </w:rPr>
      </w:pPr>
      <w:r w:rsidRPr="00E53E52">
        <w:rPr>
          <w:rFonts w:ascii="Century Schoolbook" w:hAnsi="Century Schoolbook" w:cs="Times New Roman"/>
          <w:b/>
        </w:rPr>
        <w:t xml:space="preserve"> </w:t>
      </w:r>
      <w:r w:rsidR="00406895" w:rsidRPr="00E53E52">
        <w:rPr>
          <w:rFonts w:ascii="Century Schoolbook" w:hAnsi="Century Schoolbook" w:cs="Times New Roman"/>
          <w:b/>
        </w:rPr>
        <w:t>D.</w:t>
      </w:r>
      <w:r w:rsidRPr="00E53E52">
        <w:rPr>
          <w:rFonts w:ascii="Century Schoolbook" w:hAnsi="Century Schoolbook" w:cs="Times New Roman"/>
          <w:b/>
        </w:rPr>
        <w:t xml:space="preserve"> </w:t>
      </w:r>
      <w:r w:rsidR="00406895" w:rsidRPr="00E53E52">
        <w:rPr>
          <w:rFonts w:ascii="Century Schoolbook" w:hAnsi="Century Schoolbook" w:cs="Times New Roman"/>
          <w:b/>
        </w:rPr>
        <w:t>Membership in a Particular Social Group</w:t>
      </w:r>
    </w:p>
    <w:p w14:paraId="27E1448A" w14:textId="77777777" w:rsidR="00CC650E" w:rsidRPr="00E53E52" w:rsidRDefault="00CC650E" w:rsidP="001D1D6E">
      <w:pPr>
        <w:pStyle w:val="ListParagraph"/>
        <w:numPr>
          <w:ilvl w:val="0"/>
          <w:numId w:val="6"/>
        </w:numPr>
        <w:spacing w:after="120"/>
        <w:rPr>
          <w:rFonts w:ascii="Century Schoolbook" w:hAnsi="Century Schoolbook" w:cs="Times New Roman"/>
          <w:b/>
        </w:rPr>
      </w:pPr>
    </w:p>
    <w:p w14:paraId="080F23EC" w14:textId="15028608" w:rsidR="00406895" w:rsidRPr="00E53E52" w:rsidRDefault="00810FDA" w:rsidP="001D1D6E">
      <w:pPr>
        <w:pStyle w:val="ListParagraph"/>
        <w:numPr>
          <w:ilvl w:val="0"/>
          <w:numId w:val="6"/>
        </w:numPr>
        <w:spacing w:after="120"/>
        <w:rPr>
          <w:rFonts w:ascii="Century Schoolbook" w:hAnsi="Century Schoolbook" w:cs="Times New Roman"/>
          <w:b/>
        </w:rPr>
      </w:pPr>
      <w:r w:rsidRPr="00E53E52">
        <w:rPr>
          <w:rFonts w:ascii="Century Schoolbook" w:hAnsi="Century Schoolbook" w:cs="Times New Roman"/>
          <w:b/>
        </w:rPr>
        <w:t xml:space="preserve"> </w:t>
      </w:r>
      <w:r w:rsidR="00CC650E" w:rsidRPr="00E53E52">
        <w:rPr>
          <w:rFonts w:ascii="Century Schoolbook" w:hAnsi="Century Schoolbook" w:cs="Times New Roman"/>
          <w:b/>
        </w:rPr>
        <w:t>* * * * *</w:t>
      </w:r>
    </w:p>
    <w:p w14:paraId="47E1DAA4" w14:textId="11C7C49A" w:rsidR="00CC650E" w:rsidRPr="00E53E52" w:rsidRDefault="00810FDA" w:rsidP="001D1D6E">
      <w:pPr>
        <w:spacing w:after="120"/>
        <w:ind w:left="720"/>
        <w:rPr>
          <w:rFonts w:ascii="Century Schoolbook" w:hAnsi="Century Schoolbook" w:cs="Times New Roman"/>
          <w:b/>
        </w:rPr>
      </w:pPr>
      <w:r w:rsidRPr="00E53E52">
        <w:rPr>
          <w:rFonts w:ascii="Century Schoolbook" w:hAnsi="Century Schoolbook" w:cs="Times New Roman"/>
          <w:b/>
        </w:rPr>
        <w:t xml:space="preserve"> </w:t>
      </w:r>
      <w:r w:rsidR="00CC650E" w:rsidRPr="00E53E52">
        <w:rPr>
          <w:rFonts w:ascii="Century Schoolbook" w:hAnsi="Century Schoolbook" w:cs="Times New Roman"/>
          <w:b/>
        </w:rPr>
        <w:t>3.</w:t>
      </w:r>
      <w:r w:rsidRPr="00E53E52">
        <w:rPr>
          <w:rFonts w:ascii="Century Schoolbook" w:hAnsi="Century Schoolbook" w:cs="Times New Roman"/>
          <w:b/>
        </w:rPr>
        <w:t xml:space="preserve"> </w:t>
      </w:r>
      <w:r w:rsidR="00CC650E" w:rsidRPr="00E53E52">
        <w:rPr>
          <w:rFonts w:ascii="Century Schoolbook" w:hAnsi="Century Schoolbook" w:cs="Times New Roman"/>
          <w:b/>
        </w:rPr>
        <w:t>Applying the Criteria:</w:t>
      </w:r>
      <w:r w:rsidRPr="00E53E52">
        <w:rPr>
          <w:rFonts w:ascii="Century Schoolbook" w:hAnsi="Century Schoolbook" w:cs="Times New Roman"/>
          <w:b/>
        </w:rPr>
        <w:t xml:space="preserve"> </w:t>
      </w:r>
      <w:r w:rsidR="00CC650E" w:rsidRPr="00E53E52">
        <w:rPr>
          <w:rFonts w:ascii="Century Schoolbook" w:hAnsi="Century Schoolbook" w:cs="Times New Roman"/>
          <w:b/>
        </w:rPr>
        <w:t xml:space="preserve">Specific Settings and the Controversy over </w:t>
      </w:r>
      <w:r w:rsidR="00C909C4" w:rsidRPr="00E53E52">
        <w:rPr>
          <w:rFonts w:ascii="Century Schoolbook" w:hAnsi="Century Schoolbook" w:cs="Times New Roman"/>
          <w:b/>
        </w:rPr>
        <w:t>“</w:t>
      </w:r>
      <w:r w:rsidR="00CC650E" w:rsidRPr="00E53E52">
        <w:rPr>
          <w:rFonts w:ascii="Century Schoolbook" w:hAnsi="Century Schoolbook" w:cs="Times New Roman"/>
          <w:b/>
        </w:rPr>
        <w:t>Social Visibility</w:t>
      </w:r>
      <w:r w:rsidR="00C909C4" w:rsidRPr="00E53E52">
        <w:rPr>
          <w:rFonts w:ascii="Century Schoolbook" w:hAnsi="Century Schoolbook" w:cs="Times New Roman"/>
          <w:b/>
        </w:rPr>
        <w:t>”</w:t>
      </w:r>
      <w:r w:rsidR="00CC650E" w:rsidRPr="00E53E52">
        <w:rPr>
          <w:rFonts w:ascii="Century Schoolbook" w:hAnsi="Century Schoolbook" w:cs="Times New Roman"/>
          <w:b/>
        </w:rPr>
        <w:t xml:space="preserve"> and Particularity</w:t>
      </w:r>
      <w:r w:rsidR="00C909C4" w:rsidRPr="00E53E52">
        <w:rPr>
          <w:rFonts w:ascii="Century Schoolbook" w:hAnsi="Century Schoolbook" w:cs="Times New Roman"/>
          <w:b/>
        </w:rPr>
        <w:t>”</w:t>
      </w:r>
    </w:p>
    <w:p w14:paraId="3E8DB17A" w14:textId="049D5820" w:rsidR="00CC650E" w:rsidRPr="00E53E52" w:rsidRDefault="00810FDA" w:rsidP="001D1D6E">
      <w:pPr>
        <w:spacing w:after="120"/>
        <w:ind w:firstLine="720"/>
        <w:rPr>
          <w:rFonts w:ascii="Century Schoolbook" w:hAnsi="Century Schoolbook" w:cs="Times New Roman"/>
          <w:b/>
        </w:rPr>
      </w:pPr>
      <w:r w:rsidRPr="00E53E52">
        <w:rPr>
          <w:rFonts w:ascii="Century Schoolbook" w:hAnsi="Century Schoolbook" w:cs="Times New Roman"/>
          <w:b/>
        </w:rPr>
        <w:t xml:space="preserve"> </w:t>
      </w:r>
      <w:r w:rsidR="00B41799" w:rsidRPr="00E53E52">
        <w:rPr>
          <w:rFonts w:ascii="Century Schoolbook" w:hAnsi="Century Schoolbook" w:cs="Times New Roman"/>
          <w:b/>
        </w:rPr>
        <w:t xml:space="preserve">* * * * * </w:t>
      </w:r>
    </w:p>
    <w:p w14:paraId="5CDE5E60" w14:textId="5D91103C" w:rsidR="00B41799" w:rsidRPr="00E53E52" w:rsidRDefault="00810FDA" w:rsidP="001D1D6E">
      <w:pPr>
        <w:spacing w:after="120"/>
        <w:ind w:firstLine="720"/>
        <w:rPr>
          <w:rFonts w:ascii="Century Schoolbook" w:hAnsi="Century Schoolbook" w:cs="Times New Roman"/>
          <w:b/>
        </w:rPr>
      </w:pPr>
      <w:r w:rsidRPr="00E53E52">
        <w:rPr>
          <w:rFonts w:ascii="Century Schoolbook" w:hAnsi="Century Schoolbook" w:cs="Times New Roman"/>
          <w:b/>
        </w:rPr>
        <w:t xml:space="preserve"> </w:t>
      </w:r>
      <w:r w:rsidR="00242838" w:rsidRPr="00E53E52">
        <w:rPr>
          <w:rFonts w:ascii="Century Schoolbook" w:hAnsi="Century Schoolbook" w:cs="Times New Roman"/>
          <w:b/>
        </w:rPr>
        <w:t xml:space="preserve">b. Threats to Persons </w:t>
      </w:r>
      <w:r w:rsidR="009F23DE" w:rsidRPr="00E53E52">
        <w:rPr>
          <w:rFonts w:ascii="Century Schoolbook" w:hAnsi="Century Schoolbook" w:cs="Times New Roman"/>
          <w:b/>
        </w:rPr>
        <w:t>W</w:t>
      </w:r>
      <w:r w:rsidR="00242838" w:rsidRPr="00E53E52">
        <w:rPr>
          <w:rFonts w:ascii="Century Schoolbook" w:hAnsi="Century Schoolbook" w:cs="Times New Roman"/>
          <w:b/>
        </w:rPr>
        <w:t>ho Resist Gang Recruitment</w:t>
      </w:r>
    </w:p>
    <w:p w14:paraId="59D76689" w14:textId="77777777" w:rsidR="00AB3C0C" w:rsidRPr="00E53E52" w:rsidRDefault="00AB3C0C" w:rsidP="001D1D6E">
      <w:pPr>
        <w:pStyle w:val="h1Docttl"/>
        <w:spacing w:after="120" w:line="276" w:lineRule="auto"/>
        <w:rPr>
          <w:rStyle w:val="h1DocttlChar"/>
          <w:rFonts w:ascii="Century Schoolbook" w:hAnsi="Century Schoolbook"/>
          <w:b/>
          <w:spacing w:val="-2"/>
          <w:sz w:val="22"/>
          <w:szCs w:val="22"/>
        </w:rPr>
      </w:pPr>
      <w:r w:rsidRPr="00E53E52">
        <w:rPr>
          <w:rStyle w:val="h1DocttlChar"/>
          <w:rFonts w:ascii="Century Schoolbook" w:hAnsi="Century Schoolbook"/>
          <w:b/>
          <w:spacing w:val="-2"/>
          <w:sz w:val="22"/>
          <w:szCs w:val="22"/>
        </w:rPr>
        <w:t>p</w:t>
      </w:r>
      <w:r w:rsidR="00ED6A9D" w:rsidRPr="00E53E52">
        <w:rPr>
          <w:rStyle w:val="h1DocttlChar"/>
          <w:rFonts w:ascii="Century Schoolbook" w:hAnsi="Century Schoolbook"/>
          <w:b/>
          <w:spacing w:val="-2"/>
          <w:sz w:val="22"/>
          <w:szCs w:val="22"/>
        </w:rPr>
        <w:t>p</w:t>
      </w:r>
      <w:r w:rsidRPr="00E53E52">
        <w:rPr>
          <w:rStyle w:val="h1DocttlChar"/>
          <w:rFonts w:ascii="Century Schoolbook" w:hAnsi="Century Schoolbook"/>
          <w:b/>
          <w:spacing w:val="-2"/>
          <w:sz w:val="22"/>
          <w:szCs w:val="22"/>
        </w:rPr>
        <w:t>. 359</w:t>
      </w:r>
      <w:r w:rsidR="00ED6A9D" w:rsidRPr="00E53E52">
        <w:rPr>
          <w:rStyle w:val="h1DocttlChar"/>
          <w:rFonts w:ascii="Century Schoolbook" w:hAnsi="Century Schoolbook"/>
          <w:b/>
          <w:spacing w:val="-2"/>
          <w:sz w:val="22"/>
          <w:szCs w:val="22"/>
        </w:rPr>
        <w:t>-</w:t>
      </w:r>
      <w:r w:rsidR="003D0DB6" w:rsidRPr="00E53E52">
        <w:rPr>
          <w:rStyle w:val="h1DocttlChar"/>
          <w:rFonts w:ascii="Century Schoolbook" w:hAnsi="Century Schoolbook"/>
          <w:b/>
          <w:spacing w:val="-2"/>
          <w:sz w:val="22"/>
          <w:szCs w:val="22"/>
        </w:rPr>
        <w:t>64</w:t>
      </w:r>
      <w:r w:rsidRPr="00E53E52">
        <w:rPr>
          <w:rStyle w:val="h1DocttlChar"/>
          <w:rFonts w:ascii="Century Schoolbook" w:hAnsi="Century Schoolbook"/>
          <w:b/>
          <w:spacing w:val="-2"/>
          <w:sz w:val="22"/>
          <w:szCs w:val="22"/>
        </w:rPr>
        <w:t xml:space="preserve">, </w:t>
      </w:r>
      <w:r w:rsidR="00CE7AE2" w:rsidRPr="00E53E52">
        <w:rPr>
          <w:rStyle w:val="h1DocttlChar"/>
          <w:rFonts w:ascii="Century Schoolbook" w:hAnsi="Century Schoolbook"/>
          <w:b/>
          <w:spacing w:val="-2"/>
          <w:sz w:val="22"/>
          <w:szCs w:val="22"/>
        </w:rPr>
        <w:t xml:space="preserve">replace </w:t>
      </w:r>
      <w:r w:rsidR="003D0DB6" w:rsidRPr="00E53E52">
        <w:rPr>
          <w:rStyle w:val="h1DocttlChar"/>
          <w:rFonts w:ascii="Century Schoolbook" w:hAnsi="Century Schoolbook"/>
          <w:b/>
          <w:spacing w:val="-2"/>
          <w:sz w:val="22"/>
          <w:szCs w:val="22"/>
        </w:rPr>
        <w:t>text</w:t>
      </w:r>
      <w:r w:rsidR="00CE7AE2" w:rsidRPr="00E53E52">
        <w:rPr>
          <w:rStyle w:val="h1DocttlChar"/>
          <w:rFonts w:ascii="Century Schoolbook" w:hAnsi="Century Schoolbook"/>
          <w:b/>
          <w:spacing w:val="-2"/>
          <w:sz w:val="22"/>
          <w:szCs w:val="22"/>
        </w:rPr>
        <w:t xml:space="preserve"> with the following:</w:t>
      </w:r>
    </w:p>
    <w:p w14:paraId="156241FC" w14:textId="6D40D224" w:rsidR="00CB408E" w:rsidRPr="00E53E52" w:rsidRDefault="00CB408E" w:rsidP="0036367F">
      <w:pPr>
        <w:pStyle w:val="TextParagraph"/>
        <w:spacing w:before="0" w:after="120" w:line="276" w:lineRule="auto"/>
        <w:ind w:firstLine="720"/>
        <w:rPr>
          <w:sz w:val="22"/>
          <w:szCs w:val="22"/>
        </w:rPr>
      </w:pPr>
      <w:r w:rsidRPr="00E53E52">
        <w:rPr>
          <w:rFonts w:eastAsiaTheme="minorHAnsi"/>
          <w:sz w:val="22"/>
          <w:szCs w:val="22"/>
        </w:rPr>
        <w:t xml:space="preserve">Recent cases have explored whether individuals connected in some way with gangs (sometimes as recruits, sometimes as former gang members, sometimes as opponents of gangs) should be viewed as particular social groups. In 2014 the BIA issued two precedent decisions that attempted to harmonize the case law and clarify the factors of </w:t>
      </w:r>
      <w:r w:rsidR="00C909C4" w:rsidRPr="00E53E52">
        <w:rPr>
          <w:rFonts w:eastAsiaTheme="minorHAnsi"/>
          <w:sz w:val="22"/>
          <w:szCs w:val="22"/>
        </w:rPr>
        <w:t>“</w:t>
      </w:r>
      <w:r w:rsidRPr="00E53E52">
        <w:rPr>
          <w:rFonts w:eastAsiaTheme="minorHAnsi"/>
          <w:sz w:val="22"/>
          <w:szCs w:val="22"/>
        </w:rPr>
        <w:t>particularity</w:t>
      </w:r>
      <w:r w:rsidR="00C909C4" w:rsidRPr="00E53E52">
        <w:rPr>
          <w:rFonts w:eastAsiaTheme="minorHAnsi"/>
          <w:sz w:val="22"/>
          <w:szCs w:val="22"/>
        </w:rPr>
        <w:t>”</w:t>
      </w:r>
      <w:r w:rsidRPr="00E53E52">
        <w:rPr>
          <w:rFonts w:eastAsiaTheme="minorHAnsi"/>
          <w:sz w:val="22"/>
          <w:szCs w:val="22"/>
        </w:rPr>
        <w:t xml:space="preserve"> and </w:t>
      </w:r>
      <w:r w:rsidR="00C909C4" w:rsidRPr="00E53E52">
        <w:rPr>
          <w:rFonts w:eastAsiaTheme="minorHAnsi"/>
          <w:sz w:val="22"/>
          <w:szCs w:val="22"/>
        </w:rPr>
        <w:t>“</w:t>
      </w:r>
      <w:r w:rsidRPr="00E53E52">
        <w:rPr>
          <w:rFonts w:eastAsiaTheme="minorHAnsi"/>
          <w:sz w:val="22"/>
          <w:szCs w:val="22"/>
        </w:rPr>
        <w:t>social visibility</w:t>
      </w:r>
      <w:r w:rsidR="00C909C4" w:rsidRPr="00E53E52">
        <w:rPr>
          <w:rFonts w:eastAsiaTheme="minorHAnsi"/>
          <w:sz w:val="22"/>
          <w:szCs w:val="22"/>
        </w:rPr>
        <w:t>”</w:t>
      </w:r>
      <w:r w:rsidRPr="00E53E52">
        <w:rPr>
          <w:rFonts w:eastAsiaTheme="minorHAnsi"/>
          <w:sz w:val="22"/>
          <w:szCs w:val="22"/>
        </w:rPr>
        <w:t xml:space="preserve"> or </w:t>
      </w:r>
      <w:r w:rsidR="00C909C4" w:rsidRPr="00E53E52">
        <w:rPr>
          <w:rFonts w:eastAsiaTheme="minorHAnsi"/>
          <w:sz w:val="22"/>
          <w:szCs w:val="22"/>
        </w:rPr>
        <w:t>“</w:t>
      </w:r>
      <w:r w:rsidRPr="00E53E52">
        <w:rPr>
          <w:rFonts w:eastAsiaTheme="minorHAnsi"/>
          <w:sz w:val="22"/>
          <w:szCs w:val="22"/>
        </w:rPr>
        <w:t>social distinction</w:t>
      </w:r>
      <w:r w:rsidR="00C909C4" w:rsidRPr="00E53E52">
        <w:rPr>
          <w:rFonts w:eastAsiaTheme="minorHAnsi"/>
          <w:sz w:val="22"/>
          <w:szCs w:val="22"/>
        </w:rPr>
        <w:t>”</w:t>
      </w:r>
      <w:r w:rsidRPr="00E53E52">
        <w:rPr>
          <w:rFonts w:eastAsiaTheme="minorHAnsi"/>
          <w:sz w:val="22"/>
          <w:szCs w:val="22"/>
        </w:rPr>
        <w:t xml:space="preserve"> that had become prominent in asylum litigation</w:t>
      </w:r>
      <w:r w:rsidRPr="00E53E52">
        <w:rPr>
          <w:sz w:val="22"/>
          <w:szCs w:val="22"/>
        </w:rPr>
        <w:t xml:space="preserve">. </w:t>
      </w:r>
    </w:p>
    <w:p w14:paraId="4E4E6EEB" w14:textId="77777777" w:rsidR="00CB408E" w:rsidRPr="00E53E52" w:rsidRDefault="00CB408E" w:rsidP="001D1D6E">
      <w:pPr>
        <w:spacing w:after="120"/>
        <w:jc w:val="center"/>
        <w:outlineLvl w:val="0"/>
        <w:rPr>
          <w:rFonts w:ascii="Century Schoolbook" w:hAnsi="Century Schoolbook"/>
          <w:b/>
          <w:bCs/>
        </w:rPr>
      </w:pPr>
      <w:r w:rsidRPr="00E53E52">
        <w:rPr>
          <w:rFonts w:ascii="Century Schoolbook" w:hAnsi="Century Schoolbook"/>
          <w:b/>
          <w:bCs/>
        </w:rPr>
        <w:t>MATTER OF M–E–V–G–</w:t>
      </w:r>
    </w:p>
    <w:p w14:paraId="320210CD" w14:textId="77777777" w:rsidR="00CB408E" w:rsidRPr="00E53E52" w:rsidRDefault="00CB408E" w:rsidP="001D1D6E">
      <w:pPr>
        <w:spacing w:after="120"/>
        <w:jc w:val="center"/>
        <w:rPr>
          <w:rFonts w:ascii="Century Schoolbook" w:hAnsi="Century Schoolbook"/>
          <w:bCs/>
          <w:sz w:val="18"/>
          <w:szCs w:val="18"/>
        </w:rPr>
      </w:pPr>
      <w:r w:rsidRPr="00E53E52">
        <w:rPr>
          <w:rFonts w:ascii="Century Schoolbook" w:hAnsi="Century Schoolbook"/>
          <w:bCs/>
          <w:sz w:val="18"/>
          <w:szCs w:val="18"/>
        </w:rPr>
        <w:t>Board of Immigration Appeals, 2014</w:t>
      </w:r>
      <w:r w:rsidRPr="00E53E52">
        <w:rPr>
          <w:rFonts w:ascii="Century Schoolbook" w:hAnsi="Century Schoolbook"/>
          <w:b/>
          <w:bCs/>
          <w:sz w:val="18"/>
          <w:szCs w:val="18"/>
        </w:rPr>
        <w:br/>
      </w:r>
      <w:r w:rsidRPr="00E53E52">
        <w:rPr>
          <w:rFonts w:ascii="Century Schoolbook" w:hAnsi="Century Schoolbook"/>
          <w:bCs/>
          <w:sz w:val="18"/>
          <w:szCs w:val="18"/>
        </w:rPr>
        <w:t>26 I. &amp; N. Dec. 227</w:t>
      </w:r>
    </w:p>
    <w:p w14:paraId="2B3E0647" w14:textId="77777777"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smallCaps/>
        </w:rPr>
        <w:t>Guendelsberger, Board Member</w:t>
      </w:r>
      <w:r w:rsidRPr="00E53E52">
        <w:rPr>
          <w:rFonts w:ascii="Century Schoolbook" w:hAnsi="Century Schoolbook"/>
        </w:rPr>
        <w:t>:</w:t>
      </w:r>
    </w:p>
    <w:p w14:paraId="0583A99D" w14:textId="7A603F0E"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This case is before us on remand from the United States Court of Appeals for the Third Circuit for further consideration of the respondent</w:t>
      </w:r>
      <w:r w:rsidR="00C909C4" w:rsidRPr="00E53E52">
        <w:rPr>
          <w:rFonts w:ascii="Century Schoolbook" w:hAnsi="Century Schoolbook"/>
        </w:rPr>
        <w:t>’</w:t>
      </w:r>
      <w:r w:rsidRPr="00E53E52">
        <w:rPr>
          <w:rFonts w:ascii="Century Schoolbook" w:hAnsi="Century Schoolbook"/>
        </w:rPr>
        <w:t xml:space="preserve">s applications for asylum and withholding of removal. The court declined to </w:t>
      </w:r>
      <w:bookmarkStart w:id="1" w:name="sp_1650_228"/>
      <w:bookmarkStart w:id="2" w:name="SDU_228"/>
      <w:bookmarkEnd w:id="1"/>
      <w:bookmarkEnd w:id="2"/>
      <w:r w:rsidRPr="00E53E52">
        <w:rPr>
          <w:rFonts w:ascii="Century Schoolbook" w:hAnsi="Century Schoolbook"/>
        </w:rPr>
        <w:t xml:space="preserve">afford deference to our conclusion that a grant of asylum or withholding of removal under the </w:t>
      </w:r>
      <w:r w:rsidR="00C909C4" w:rsidRPr="00E53E52">
        <w:rPr>
          <w:rFonts w:ascii="Century Schoolbook" w:hAnsi="Century Schoolbook"/>
        </w:rPr>
        <w:t>“</w:t>
      </w:r>
      <w:r w:rsidRPr="00E53E52">
        <w:rPr>
          <w:rFonts w:ascii="Century Schoolbook" w:hAnsi="Century Schoolbook"/>
        </w:rPr>
        <w:t>particular social group</w:t>
      </w:r>
      <w:r w:rsidR="00C909C4" w:rsidRPr="00E53E52">
        <w:rPr>
          <w:rFonts w:ascii="Century Schoolbook" w:hAnsi="Century Schoolbook"/>
        </w:rPr>
        <w:t>”</w:t>
      </w:r>
      <w:r w:rsidRPr="00E53E52">
        <w:rPr>
          <w:rFonts w:ascii="Century Schoolbook" w:hAnsi="Century Schoolbook"/>
        </w:rPr>
        <w:t xml:space="preserve"> ground of persecution requires the applicant to establish the </w:t>
      </w:r>
      <w:r w:rsidRPr="00E53E52">
        <w:rPr>
          <w:rFonts w:ascii="Century Schoolbook" w:hAnsi="Century Schoolbook"/>
          <w:color w:val="000000"/>
        </w:rPr>
        <w:t>elements</w:t>
      </w:r>
      <w:r w:rsidRPr="00E53E52">
        <w:rPr>
          <w:rFonts w:ascii="Century Schoolbook" w:hAnsi="Century Schoolbook"/>
        </w:rPr>
        <w:t xml:space="preserve"> of </w:t>
      </w:r>
      <w:r w:rsidR="00C909C4" w:rsidRPr="00E53E52">
        <w:rPr>
          <w:rFonts w:ascii="Century Schoolbook" w:hAnsi="Century Schoolbook"/>
        </w:rPr>
        <w:t>“</w:t>
      </w:r>
      <w:r w:rsidRPr="00E53E52">
        <w:rPr>
          <w:rFonts w:ascii="Century Schoolbook" w:hAnsi="Century Schoolbook"/>
        </w:rPr>
        <w:t>particularity</w:t>
      </w:r>
      <w:r w:rsidR="00C909C4" w:rsidRPr="00E53E52">
        <w:rPr>
          <w:rFonts w:ascii="Century Schoolbook" w:hAnsi="Century Schoolbook"/>
        </w:rPr>
        <w:t>”</w:t>
      </w:r>
      <w:r w:rsidRPr="00E53E52">
        <w:rPr>
          <w:rFonts w:ascii="Century Schoolbook" w:hAnsi="Century Schoolbook"/>
        </w:rPr>
        <w:t xml:space="preserve"> and </w:t>
      </w:r>
      <w:r w:rsidR="00C909C4" w:rsidRPr="00E53E52">
        <w:rPr>
          <w:rFonts w:ascii="Century Schoolbook" w:hAnsi="Century Schoolbook"/>
        </w:rPr>
        <w:t>“</w:t>
      </w:r>
      <w:r w:rsidRPr="00E53E52">
        <w:rPr>
          <w:rFonts w:ascii="Century Schoolbook" w:hAnsi="Century Schoolbook"/>
        </w:rPr>
        <w:t>social visibility.</w:t>
      </w:r>
      <w:r w:rsidR="00C909C4" w:rsidRPr="00E53E52">
        <w:rPr>
          <w:rFonts w:ascii="Century Schoolbook" w:hAnsi="Century Schoolbook"/>
        </w:rPr>
        <w:t>”</w:t>
      </w:r>
      <w:r w:rsidRPr="00E53E52">
        <w:rPr>
          <w:rFonts w:ascii="Century Schoolbook" w:hAnsi="Century Schoolbook"/>
        </w:rPr>
        <w:t xml:space="preserve"> Upon further consideration of the record and the arguments presented by the parties and amici curiae, we will clarify our interpretation of the phrase </w:t>
      </w:r>
      <w:r w:rsidR="00C909C4" w:rsidRPr="00E53E52">
        <w:rPr>
          <w:rFonts w:ascii="Century Schoolbook" w:hAnsi="Century Schoolbook"/>
        </w:rPr>
        <w:t>“</w:t>
      </w:r>
      <w:r w:rsidRPr="00E53E52">
        <w:rPr>
          <w:rFonts w:ascii="Century Schoolbook" w:hAnsi="Century Schoolbook"/>
        </w:rPr>
        <w:t>particular social group.</w:t>
      </w:r>
      <w:r w:rsidR="00C909C4" w:rsidRPr="00E53E52">
        <w:rPr>
          <w:rFonts w:ascii="Century Schoolbook" w:hAnsi="Century Schoolbook"/>
        </w:rPr>
        <w:t>”</w:t>
      </w:r>
      <w:r w:rsidRPr="00E53E52">
        <w:rPr>
          <w:rFonts w:ascii="Century Schoolbook" w:hAnsi="Century Schoolbook"/>
        </w:rPr>
        <w:t xml:space="preserve"> We adhere to our prior interpretations of the phrase but emphasize that literal or </w:t>
      </w:r>
      <w:r w:rsidR="00C909C4" w:rsidRPr="00E53E52">
        <w:rPr>
          <w:rFonts w:ascii="Century Schoolbook" w:hAnsi="Century Schoolbook"/>
        </w:rPr>
        <w:t>“</w:t>
      </w:r>
      <w:r w:rsidRPr="00E53E52">
        <w:rPr>
          <w:rFonts w:ascii="Century Schoolbook" w:hAnsi="Century Schoolbook"/>
        </w:rPr>
        <w:t>ocular</w:t>
      </w:r>
      <w:r w:rsidR="00C909C4" w:rsidRPr="00E53E52">
        <w:rPr>
          <w:rFonts w:ascii="Century Schoolbook" w:hAnsi="Century Schoolbook"/>
        </w:rPr>
        <w:t>”</w:t>
      </w:r>
      <w:r w:rsidRPr="00E53E52">
        <w:rPr>
          <w:rFonts w:ascii="Century Schoolbook" w:hAnsi="Century Schoolbook"/>
        </w:rPr>
        <w:t xml:space="preserve"> visibility is not required, and we rename the </w:t>
      </w:r>
      <w:r w:rsidR="00C909C4" w:rsidRPr="00E53E52">
        <w:rPr>
          <w:rFonts w:ascii="Century Schoolbook" w:hAnsi="Century Schoolbook"/>
        </w:rPr>
        <w:t>“</w:t>
      </w:r>
      <w:r w:rsidRPr="00E53E52">
        <w:rPr>
          <w:rFonts w:ascii="Century Schoolbook" w:hAnsi="Century Schoolbook"/>
        </w:rPr>
        <w:t>social visibility</w:t>
      </w:r>
      <w:r w:rsidR="00C909C4" w:rsidRPr="00E53E52">
        <w:rPr>
          <w:rFonts w:ascii="Century Schoolbook" w:hAnsi="Century Schoolbook"/>
        </w:rPr>
        <w:t>”</w:t>
      </w:r>
      <w:r w:rsidRPr="00E53E52">
        <w:rPr>
          <w:rFonts w:ascii="Century Schoolbook" w:hAnsi="Century Schoolbook"/>
        </w:rPr>
        <w:t xml:space="preserve"> element as </w:t>
      </w:r>
      <w:r w:rsidR="00C909C4" w:rsidRPr="00E53E52">
        <w:rPr>
          <w:rFonts w:ascii="Century Schoolbook" w:hAnsi="Century Schoolbook"/>
        </w:rPr>
        <w:t>“</w:t>
      </w:r>
      <w:r w:rsidRPr="00E53E52">
        <w:rPr>
          <w:rFonts w:ascii="Century Schoolbook" w:hAnsi="Century Schoolbook"/>
        </w:rPr>
        <w:t>social distinction.</w:t>
      </w:r>
      <w:r w:rsidR="00C909C4" w:rsidRPr="00E53E52">
        <w:rPr>
          <w:rFonts w:ascii="Century Schoolbook" w:hAnsi="Century Schoolbook"/>
        </w:rPr>
        <w:t>”</w:t>
      </w:r>
      <w:r w:rsidRPr="00E53E52">
        <w:rPr>
          <w:rFonts w:ascii="Century Schoolbook" w:hAnsi="Century Schoolbook"/>
        </w:rPr>
        <w:t xml:space="preserve"> * * * </w:t>
      </w:r>
    </w:p>
    <w:p w14:paraId="270E9B04" w14:textId="72DB544C" w:rsidR="00CB408E" w:rsidRPr="00E53E52" w:rsidRDefault="00CB408E" w:rsidP="0036367F">
      <w:pPr>
        <w:pStyle w:val="BodyText"/>
        <w:widowControl/>
        <w:spacing w:after="120"/>
        <w:ind w:firstLine="720"/>
        <w:rPr>
          <w:rFonts w:ascii="Century Schoolbook" w:hAnsi="Century Schoolbook"/>
        </w:rPr>
      </w:pPr>
      <w:bookmarkStart w:id="3" w:name="sp_999_2"/>
      <w:bookmarkStart w:id="4" w:name="SDU_2"/>
      <w:r w:rsidRPr="00E53E52">
        <w:rPr>
          <w:rFonts w:ascii="Century Schoolbook" w:hAnsi="Century Schoolbook"/>
        </w:rPr>
        <w:t xml:space="preserve">* * * [T]he respondent claims that he suffered past persecution and has a well-founded fear of future persecution in his native Honduras because members of the Mara Salvatrucha gang beat him, kidnaped and assaulted him and his family while they were traveling in Guatemala, and threatened to kill him if he did not join the gang. In addition, the respondent testified that the gang members would shoot at him and throw rocks and spears at him about two to three times per week. The respondent asserts that he was persecuted </w:t>
      </w:r>
      <w:r w:rsidR="00C909C4" w:rsidRPr="00E53E52">
        <w:rPr>
          <w:rFonts w:ascii="Century Schoolbook" w:hAnsi="Century Schoolbook"/>
        </w:rPr>
        <w:t>“</w:t>
      </w:r>
      <w:r w:rsidRPr="00E53E52">
        <w:rPr>
          <w:rFonts w:ascii="Century Schoolbook" w:hAnsi="Century Schoolbook"/>
        </w:rPr>
        <w:t>on account of his membership in a particular social group, namely Honduran youth who have been actively recruited by gangs but who have refused to join because they oppose the gangs.</w:t>
      </w:r>
      <w:r w:rsidR="00C909C4" w:rsidRPr="00E53E52">
        <w:rPr>
          <w:rFonts w:ascii="Century Schoolbook" w:hAnsi="Century Schoolbook"/>
        </w:rPr>
        <w:t>”</w:t>
      </w:r>
    </w:p>
    <w:p w14:paraId="765DBE05" w14:textId="36BE0E20"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lastRenderedPageBreak/>
        <w:t>* * * [The immigration judge denied asylum and withholding of removal. The BIA affirmed.]</w:t>
      </w:r>
      <w:bookmarkEnd w:id="3"/>
      <w:bookmarkEnd w:id="4"/>
      <w:r w:rsidRPr="00E53E52">
        <w:rPr>
          <w:rFonts w:ascii="Century Schoolbook" w:hAnsi="Century Schoolbook"/>
        </w:rPr>
        <w:t xml:space="preserve"> The case is now before us following a second remand from the Third Circuit. </w:t>
      </w:r>
      <w:r w:rsidRPr="00E53E52">
        <w:rPr>
          <w:rFonts w:ascii="Century Schoolbook" w:hAnsi="Century Schoolbook"/>
          <w:i/>
        </w:rPr>
        <w:t>Valdiviezo-Galdamez v. Att</w:t>
      </w:r>
      <w:r w:rsidR="00C909C4" w:rsidRPr="00E53E52">
        <w:rPr>
          <w:rFonts w:ascii="Century Schoolbook" w:hAnsi="Century Schoolbook"/>
          <w:i/>
        </w:rPr>
        <w:t>’</w:t>
      </w:r>
      <w:r w:rsidRPr="00E53E52">
        <w:rPr>
          <w:rFonts w:ascii="Century Schoolbook" w:hAnsi="Century Schoolbook"/>
          <w:i/>
        </w:rPr>
        <w:t>y Gen. of U.S.,</w:t>
      </w:r>
      <w:r w:rsidRPr="00E53E52">
        <w:rPr>
          <w:rFonts w:ascii="Century Schoolbook" w:hAnsi="Century Schoolbook"/>
        </w:rPr>
        <w:t xml:space="preserve"> 663 F.3d 582 (3d Cir. 2011). The court found that our requirement that a particular social group must possess the elements of </w:t>
      </w:r>
      <w:r w:rsidR="00C909C4" w:rsidRPr="00E53E52">
        <w:rPr>
          <w:rFonts w:ascii="Century Schoolbook" w:hAnsi="Century Schoolbook"/>
        </w:rPr>
        <w:t>“</w:t>
      </w:r>
      <w:r w:rsidRPr="00E53E52">
        <w:rPr>
          <w:rFonts w:ascii="Century Schoolbook" w:hAnsi="Century Schoolbook"/>
        </w:rPr>
        <w:t>particularity</w:t>
      </w:r>
      <w:r w:rsidR="00C909C4" w:rsidRPr="00E53E52">
        <w:rPr>
          <w:rFonts w:ascii="Century Schoolbook" w:hAnsi="Century Schoolbook"/>
        </w:rPr>
        <w:t>”</w:t>
      </w:r>
      <w:r w:rsidRPr="00E53E52">
        <w:rPr>
          <w:rFonts w:ascii="Century Schoolbook" w:hAnsi="Century Schoolbook"/>
        </w:rPr>
        <w:t xml:space="preserve"> and </w:t>
      </w:r>
      <w:r w:rsidR="00C909C4" w:rsidRPr="00E53E52">
        <w:rPr>
          <w:rFonts w:ascii="Century Schoolbook" w:hAnsi="Century Schoolbook"/>
        </w:rPr>
        <w:t>“</w:t>
      </w:r>
      <w:r w:rsidRPr="00E53E52">
        <w:rPr>
          <w:rFonts w:ascii="Century Schoolbook" w:hAnsi="Century Schoolbook"/>
        </w:rPr>
        <w:t>social visibility</w:t>
      </w:r>
      <w:r w:rsidR="00C909C4" w:rsidRPr="00E53E52">
        <w:rPr>
          <w:rFonts w:ascii="Century Schoolbook" w:hAnsi="Century Schoolbook"/>
        </w:rPr>
        <w:t>”</w:t>
      </w:r>
      <w:r w:rsidRPr="00E53E52">
        <w:rPr>
          <w:rFonts w:ascii="Century Schoolbook" w:hAnsi="Century Schoolbook"/>
        </w:rPr>
        <w:t xml:space="preserve"> is inconsistent with prior Board decisions, that we have not announced a </w:t>
      </w:r>
      <w:r w:rsidR="00C909C4" w:rsidRPr="00E53E52">
        <w:rPr>
          <w:rFonts w:ascii="Century Schoolbook" w:hAnsi="Century Schoolbook"/>
        </w:rPr>
        <w:t>“</w:t>
      </w:r>
      <w:r w:rsidRPr="00E53E52">
        <w:rPr>
          <w:rFonts w:ascii="Century Schoolbook" w:hAnsi="Century Schoolbook"/>
        </w:rPr>
        <w:t>principled reason</w:t>
      </w:r>
      <w:r w:rsidR="00C909C4" w:rsidRPr="00E53E52">
        <w:rPr>
          <w:rFonts w:ascii="Century Schoolbook" w:hAnsi="Century Schoolbook"/>
        </w:rPr>
        <w:t>”</w:t>
      </w:r>
      <w:r w:rsidRPr="00E53E52">
        <w:rPr>
          <w:rFonts w:ascii="Century Schoolbook" w:hAnsi="Century Schoolbook"/>
        </w:rPr>
        <w:t xml:space="preserve"> for our adoption of that inconsistent requirement, and that our interpretation is not entitled to deference under </w:t>
      </w:r>
      <w:r w:rsidRPr="00E53E52">
        <w:rPr>
          <w:rFonts w:ascii="Century Schoolbook" w:hAnsi="Century Schoolbook"/>
          <w:i/>
          <w:iCs/>
        </w:rPr>
        <w:t>Chevron, U.S.A., Inc. v. Natural Resources Defense Council, Inc.</w:t>
      </w:r>
      <w:r w:rsidRPr="00E53E52">
        <w:rPr>
          <w:rFonts w:ascii="Century Schoolbook" w:hAnsi="Century Schoolbook"/>
        </w:rPr>
        <w:t xml:space="preserve">, 467 U.S. 837 (1984). Nevertheless, the court advised that </w:t>
      </w:r>
      <w:r w:rsidR="00C909C4" w:rsidRPr="00E53E52">
        <w:rPr>
          <w:rFonts w:ascii="Century Schoolbook" w:hAnsi="Century Schoolbook"/>
        </w:rPr>
        <w:t>“</w:t>
      </w:r>
      <w:r w:rsidRPr="00E53E52">
        <w:rPr>
          <w:rFonts w:ascii="Century Schoolbook" w:hAnsi="Century Schoolbook"/>
        </w:rPr>
        <w:t>an agency can change or adopt its policies</w:t>
      </w:r>
      <w:r w:rsidR="00C909C4" w:rsidRPr="00E53E52">
        <w:rPr>
          <w:rFonts w:ascii="Century Schoolbook" w:hAnsi="Century Schoolbook"/>
        </w:rPr>
        <w:t>”</w:t>
      </w:r>
      <w:r w:rsidRPr="00E53E52">
        <w:rPr>
          <w:rFonts w:ascii="Century Schoolbook" w:hAnsi="Century Schoolbook"/>
        </w:rPr>
        <w:t xml:space="preserve"> and recognized that the Board may add new requirements to, or even change, its definition of a </w:t>
      </w:r>
      <w:r w:rsidR="00C909C4" w:rsidRPr="00E53E52">
        <w:rPr>
          <w:rFonts w:ascii="Century Schoolbook" w:hAnsi="Century Schoolbook"/>
        </w:rPr>
        <w:t>“</w:t>
      </w:r>
      <w:r w:rsidRPr="00E53E52">
        <w:rPr>
          <w:rFonts w:ascii="Century Schoolbook" w:hAnsi="Century Schoolbook"/>
        </w:rPr>
        <w:t>particular social group.</w:t>
      </w:r>
      <w:r w:rsidR="00C909C4" w:rsidRPr="00E53E52">
        <w:rPr>
          <w:rFonts w:ascii="Century Schoolbook" w:hAnsi="Century Schoolbook"/>
        </w:rPr>
        <w:t>”</w:t>
      </w:r>
      <w:r w:rsidRPr="00E53E52">
        <w:rPr>
          <w:rFonts w:ascii="Century Schoolbook" w:hAnsi="Century Schoolbook"/>
        </w:rPr>
        <w:t xml:space="preserve"> </w:t>
      </w:r>
    </w:p>
    <w:p w14:paraId="054FB04B" w14:textId="77777777" w:rsidR="00CB408E" w:rsidRPr="00E53E52" w:rsidRDefault="00CB408E" w:rsidP="00C61D06">
      <w:pPr>
        <w:spacing w:after="0"/>
        <w:jc w:val="center"/>
        <w:rPr>
          <w:rFonts w:ascii="Century Schoolbook" w:hAnsi="Century Schoolbook"/>
        </w:rPr>
      </w:pPr>
      <w:r w:rsidRPr="00E53E52">
        <w:rPr>
          <w:rFonts w:ascii="Century Schoolbook" w:hAnsi="Century Schoolbook"/>
        </w:rPr>
        <w:t>* * *</w:t>
      </w:r>
    </w:p>
    <w:p w14:paraId="5D2AE511" w14:textId="77777777" w:rsidR="00CB408E" w:rsidRPr="00E53E52" w:rsidRDefault="00CB408E" w:rsidP="001D1D6E">
      <w:pPr>
        <w:spacing w:after="120"/>
        <w:jc w:val="center"/>
        <w:outlineLvl w:val="0"/>
        <w:rPr>
          <w:rFonts w:ascii="Century Schoolbook" w:hAnsi="Century Schoolbook"/>
        </w:rPr>
      </w:pPr>
      <w:bookmarkStart w:id="5" w:name="sp_999_3"/>
      <w:bookmarkStart w:id="6" w:name="SDU_3"/>
      <w:r w:rsidRPr="00E53E52">
        <w:rPr>
          <w:rFonts w:ascii="Century Schoolbook" w:hAnsi="Century Schoolbook"/>
        </w:rPr>
        <w:t>III. PARTICULAR SOCIAL GROUP</w:t>
      </w:r>
    </w:p>
    <w:p w14:paraId="51A2A361" w14:textId="77777777" w:rsidR="00CB408E" w:rsidRPr="00E53E52" w:rsidRDefault="00CB408E" w:rsidP="00C61D06">
      <w:pPr>
        <w:spacing w:after="0"/>
        <w:jc w:val="center"/>
        <w:rPr>
          <w:rFonts w:ascii="Century Schoolbook" w:hAnsi="Century Schoolbook"/>
        </w:rPr>
      </w:pPr>
      <w:r w:rsidRPr="00E53E52">
        <w:rPr>
          <w:rFonts w:ascii="Century Schoolbook" w:hAnsi="Century Schoolbook"/>
        </w:rPr>
        <w:t>* * *</w:t>
      </w:r>
    </w:p>
    <w:p w14:paraId="676290C9" w14:textId="549ACA0A"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 xml:space="preserve">The phrase </w:t>
      </w:r>
      <w:r w:rsidR="00C909C4" w:rsidRPr="00E53E52">
        <w:rPr>
          <w:rFonts w:ascii="Century Schoolbook" w:hAnsi="Century Schoolbook"/>
        </w:rPr>
        <w:t>“</w:t>
      </w:r>
      <w:r w:rsidRPr="00E53E52">
        <w:rPr>
          <w:rFonts w:ascii="Century Schoolbook" w:hAnsi="Century Schoolbook"/>
        </w:rPr>
        <w:t>membership in a particular social group,</w:t>
      </w:r>
      <w:r w:rsidR="00C909C4" w:rsidRPr="00E53E52">
        <w:rPr>
          <w:rFonts w:ascii="Century Schoolbook" w:hAnsi="Century Schoolbook"/>
        </w:rPr>
        <w:t>”</w:t>
      </w:r>
      <w:r w:rsidRPr="00E53E52">
        <w:rPr>
          <w:rFonts w:ascii="Century Schoolbook" w:hAnsi="Century Schoolbook"/>
        </w:rPr>
        <w:t xml:space="preserve"> which is not defined in the Act, the Convention, or the Protocol, is ambiguous and difficult to define. * * *</w:t>
      </w:r>
      <w:bookmarkEnd w:id="5"/>
      <w:bookmarkEnd w:id="6"/>
      <w:r w:rsidRPr="00E53E52">
        <w:rPr>
          <w:rFonts w:ascii="Century Schoolbook" w:hAnsi="Century Schoolbook"/>
        </w:rPr>
        <w:t xml:space="preserve"> Congress has assigned the Attorney General the primary responsibility of construing ambiguous provisions in the immigration laws, and this responsibility has been delegated to the Board. The Board</w:t>
      </w:r>
      <w:r w:rsidR="00C909C4" w:rsidRPr="00E53E52">
        <w:rPr>
          <w:rFonts w:ascii="Century Schoolbook" w:hAnsi="Century Schoolbook"/>
        </w:rPr>
        <w:t>’</w:t>
      </w:r>
      <w:r w:rsidRPr="00E53E52">
        <w:rPr>
          <w:rFonts w:ascii="Century Schoolbook" w:hAnsi="Century Schoolbook"/>
        </w:rPr>
        <w:t xml:space="preserve">s reasonable construction of an ambiguous term in the Act, such as </w:t>
      </w:r>
      <w:r w:rsidR="00C909C4" w:rsidRPr="00E53E52">
        <w:rPr>
          <w:rFonts w:ascii="Century Schoolbook" w:hAnsi="Century Schoolbook"/>
        </w:rPr>
        <w:t>“</w:t>
      </w:r>
      <w:r w:rsidRPr="00E53E52">
        <w:rPr>
          <w:rFonts w:ascii="Century Schoolbook" w:hAnsi="Century Schoolbook"/>
        </w:rPr>
        <w:t>membership in a particular social group,</w:t>
      </w:r>
      <w:r w:rsidR="00C909C4" w:rsidRPr="00E53E52">
        <w:rPr>
          <w:rFonts w:ascii="Century Schoolbook" w:hAnsi="Century Schoolbook"/>
        </w:rPr>
        <w:t>”</w:t>
      </w:r>
      <w:r w:rsidRPr="00E53E52">
        <w:rPr>
          <w:rFonts w:ascii="Century Schoolbook" w:hAnsi="Century Schoolbook"/>
        </w:rPr>
        <w:t xml:space="preserve"> is entitled to deference. </w:t>
      </w:r>
      <w:r w:rsidRPr="00E53E52">
        <w:rPr>
          <w:rFonts w:ascii="Century Schoolbook" w:hAnsi="Century Schoolbook"/>
          <w:i/>
          <w:iCs/>
        </w:rPr>
        <w:t>See Nat</w:t>
      </w:r>
      <w:r w:rsidR="00C909C4" w:rsidRPr="00E53E52">
        <w:rPr>
          <w:rFonts w:ascii="Century Schoolbook" w:hAnsi="Century Schoolbook"/>
          <w:i/>
          <w:iCs/>
        </w:rPr>
        <w:t>’</w:t>
      </w:r>
      <w:r w:rsidRPr="00E53E52">
        <w:rPr>
          <w:rFonts w:ascii="Century Schoolbook" w:hAnsi="Century Schoolbook"/>
          <w:i/>
          <w:iCs/>
        </w:rPr>
        <w:t>l Cable &amp; Telecomms. Ass</w:t>
      </w:r>
      <w:r w:rsidR="00C909C4" w:rsidRPr="00E53E52">
        <w:rPr>
          <w:rFonts w:ascii="Century Schoolbook" w:hAnsi="Century Schoolbook"/>
          <w:i/>
          <w:iCs/>
        </w:rPr>
        <w:t>’</w:t>
      </w:r>
      <w:r w:rsidRPr="00E53E52">
        <w:rPr>
          <w:rFonts w:ascii="Century Schoolbook" w:hAnsi="Century Schoolbook"/>
          <w:i/>
          <w:iCs/>
        </w:rPr>
        <w:t>n v. Brand X Internet Servs.</w:t>
      </w:r>
      <w:r w:rsidRPr="00E53E52">
        <w:rPr>
          <w:rFonts w:ascii="Century Schoolbook" w:hAnsi="Century Schoolbook"/>
        </w:rPr>
        <w:t xml:space="preserve">, 545 U.S. 967, 980 (2005); </w:t>
      </w:r>
      <w:r w:rsidRPr="00E53E52">
        <w:rPr>
          <w:rFonts w:ascii="Century Schoolbook" w:hAnsi="Century Schoolbook"/>
          <w:i/>
          <w:iCs/>
        </w:rPr>
        <w:t>Chevron</w:t>
      </w:r>
      <w:r w:rsidRPr="00E53E52">
        <w:rPr>
          <w:rFonts w:ascii="Century Schoolbook" w:hAnsi="Century Schoolbook"/>
        </w:rPr>
        <w:t>.</w:t>
      </w:r>
    </w:p>
    <w:p w14:paraId="4B5952F9" w14:textId="2A16D2B9" w:rsidR="00CB408E" w:rsidRPr="00E53E52" w:rsidRDefault="00CB408E" w:rsidP="0036367F">
      <w:pPr>
        <w:pStyle w:val="BodyText"/>
        <w:widowControl/>
        <w:spacing w:after="120"/>
        <w:ind w:firstLine="720"/>
        <w:rPr>
          <w:rFonts w:ascii="Century Schoolbook" w:hAnsi="Century Schoolbook"/>
        </w:rPr>
      </w:pPr>
      <w:bookmarkStart w:id="7" w:name="sp_999_4"/>
      <w:bookmarkStart w:id="8" w:name="SDU_4"/>
      <w:r w:rsidRPr="00E53E52">
        <w:rPr>
          <w:rFonts w:ascii="Century Schoolbook" w:hAnsi="Century Schoolbook"/>
        </w:rPr>
        <w:t xml:space="preserve">We first interpreted the phrase </w:t>
      </w:r>
      <w:r w:rsidR="00C909C4" w:rsidRPr="00E53E52">
        <w:rPr>
          <w:rFonts w:ascii="Century Schoolbook" w:hAnsi="Century Schoolbook"/>
        </w:rPr>
        <w:t>“</w:t>
      </w:r>
      <w:r w:rsidRPr="00E53E52">
        <w:rPr>
          <w:rFonts w:ascii="Century Schoolbook" w:hAnsi="Century Schoolbook"/>
        </w:rPr>
        <w:t>membership in a particular social group</w:t>
      </w:r>
      <w:r w:rsidR="00C909C4" w:rsidRPr="00E53E52">
        <w:rPr>
          <w:rFonts w:ascii="Century Schoolbook" w:hAnsi="Century Schoolbook"/>
        </w:rPr>
        <w:t>”</w:t>
      </w:r>
      <w:r w:rsidRPr="00E53E52">
        <w:rPr>
          <w:rFonts w:ascii="Century Schoolbook" w:hAnsi="Century Schoolbook"/>
        </w:rPr>
        <w:t xml:space="preserve"> in </w:t>
      </w:r>
      <w:r w:rsidRPr="00E53E52">
        <w:rPr>
          <w:rFonts w:ascii="Century Schoolbook" w:hAnsi="Century Schoolbook"/>
          <w:i/>
          <w:iCs/>
        </w:rPr>
        <w:t>Matter of Acosta</w:t>
      </w:r>
      <w:r w:rsidR="00DB2E6B" w:rsidRPr="00E53E52">
        <w:rPr>
          <w:rFonts w:ascii="Century Schoolbook" w:hAnsi="Century Schoolbook"/>
          <w:i/>
          <w:iCs/>
        </w:rPr>
        <w:t xml:space="preserve"> </w:t>
      </w:r>
      <w:r w:rsidRPr="00E53E52">
        <w:rPr>
          <w:rFonts w:ascii="Century Schoolbook" w:hAnsi="Century Schoolbook"/>
          <w:iCs/>
        </w:rPr>
        <w:t>[</w:t>
      </w:r>
      <w:r w:rsidRPr="00E53E52">
        <w:rPr>
          <w:rFonts w:ascii="Century Schoolbook" w:hAnsi="Century Schoolbook"/>
        </w:rPr>
        <w:t xml:space="preserve">19 I&amp;N Dec. 211 (BIA 1985)]. We found the doctrine of </w:t>
      </w:r>
      <w:r w:rsidR="00C909C4" w:rsidRPr="00E53E52">
        <w:rPr>
          <w:rFonts w:ascii="Century Schoolbook" w:hAnsi="Century Schoolbook"/>
        </w:rPr>
        <w:t>“</w:t>
      </w:r>
      <w:r w:rsidRPr="00E53E52">
        <w:rPr>
          <w:rFonts w:ascii="Century Schoolbook" w:hAnsi="Century Schoolbook"/>
        </w:rPr>
        <w:t>ejusdem generis</w:t>
      </w:r>
      <w:r w:rsidR="00C909C4" w:rsidRPr="00E53E52">
        <w:rPr>
          <w:rFonts w:ascii="Century Schoolbook" w:hAnsi="Century Schoolbook"/>
        </w:rPr>
        <w:t>”</w:t>
      </w:r>
      <w:r w:rsidRPr="00E53E52">
        <w:rPr>
          <w:rFonts w:ascii="Century Schoolbook" w:hAnsi="Century Schoolbook"/>
        </w:rPr>
        <w:t xml:space="preserve"> helpful in defining the phrase, which we held should be interpreted on the same order as the other grounds of persecution in the Act. The phrase </w:t>
      </w:r>
      <w:r w:rsidR="00C909C4" w:rsidRPr="00E53E52">
        <w:rPr>
          <w:rFonts w:ascii="Century Schoolbook" w:hAnsi="Century Schoolbook"/>
        </w:rPr>
        <w:t>“</w:t>
      </w:r>
      <w:r w:rsidRPr="00E53E52">
        <w:rPr>
          <w:rFonts w:ascii="Century Schoolbook" w:hAnsi="Century Schoolbook"/>
        </w:rPr>
        <w:t>persecution on account of membership in a particular social group</w:t>
      </w:r>
      <w:r w:rsidR="00C909C4" w:rsidRPr="00E53E52">
        <w:rPr>
          <w:rFonts w:ascii="Century Schoolbook" w:hAnsi="Century Schoolbook"/>
        </w:rPr>
        <w:t>”</w:t>
      </w:r>
      <w:r w:rsidRPr="00E53E52">
        <w:rPr>
          <w:rFonts w:ascii="Century Schoolbook" w:hAnsi="Century Schoolbook"/>
        </w:rPr>
        <w:t xml:space="preserve"> was interpreted to mean </w:t>
      </w:r>
      <w:r w:rsidR="00C909C4" w:rsidRPr="00E53E52">
        <w:rPr>
          <w:rFonts w:ascii="Century Schoolbook" w:hAnsi="Century Schoolbook"/>
        </w:rPr>
        <w:t>“</w:t>
      </w:r>
      <w:r w:rsidRPr="00E53E52">
        <w:rPr>
          <w:rFonts w:ascii="Century Schoolbook" w:hAnsi="Century Schoolbook"/>
        </w:rPr>
        <w:t xml:space="preserve">persecution that is directed toward an individual who is a member of a group of persons all of whom share a common, immutable </w:t>
      </w:r>
      <w:bookmarkStart w:id="9" w:name="sp_1650_231"/>
      <w:bookmarkStart w:id="10" w:name="SDU_231"/>
      <w:bookmarkEnd w:id="9"/>
      <w:bookmarkEnd w:id="10"/>
      <w:r w:rsidRPr="00E53E52">
        <w:rPr>
          <w:rFonts w:ascii="Century Schoolbook" w:hAnsi="Century Schoolbook"/>
        </w:rPr>
        <w:t>characteristic.</w:t>
      </w:r>
      <w:r w:rsidR="00C909C4" w:rsidRPr="00E53E52">
        <w:rPr>
          <w:rFonts w:ascii="Century Schoolbook" w:hAnsi="Century Schoolbook"/>
        </w:rPr>
        <w:t>”</w:t>
      </w:r>
      <w:r w:rsidRPr="00E53E52">
        <w:rPr>
          <w:rFonts w:ascii="Century Schoolbook" w:hAnsi="Century Schoolbook"/>
        </w:rPr>
        <w:t xml:space="preserve"> The common characteristic that defines the group must be one </w:t>
      </w:r>
      <w:r w:rsidR="00C909C4" w:rsidRPr="00E53E52">
        <w:rPr>
          <w:rFonts w:ascii="Century Schoolbook" w:hAnsi="Century Schoolbook"/>
        </w:rPr>
        <w:t>“</w:t>
      </w:r>
      <w:r w:rsidRPr="00E53E52">
        <w:rPr>
          <w:rFonts w:ascii="Century Schoolbook" w:hAnsi="Century Schoolbook"/>
        </w:rPr>
        <w:t>that the members of the group either cannot change, or should not be required to change because it is fundamental to their individual identities or consciences.</w:t>
      </w:r>
      <w:r w:rsidR="00C909C4" w:rsidRPr="00E53E52">
        <w:rPr>
          <w:rFonts w:ascii="Century Schoolbook" w:hAnsi="Century Schoolbook"/>
        </w:rPr>
        <w:t>”</w:t>
      </w:r>
      <w:r w:rsidRPr="00E53E52">
        <w:rPr>
          <w:rFonts w:ascii="Century Schoolbook" w:hAnsi="Century Schoolbook"/>
        </w:rPr>
        <w:t xml:space="preserve"> </w:t>
      </w:r>
    </w:p>
    <w:p w14:paraId="3CD10023" w14:textId="13E2C514"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i/>
          <w:iCs/>
        </w:rPr>
        <w:t>Matter of Acosta</w:t>
      </w:r>
      <w:r w:rsidRPr="00E53E52">
        <w:rPr>
          <w:rFonts w:ascii="Century Schoolbook" w:hAnsi="Century Schoolbook"/>
        </w:rPr>
        <w:t xml:space="preserve"> * * * rejected the applicant</w:t>
      </w:r>
      <w:r w:rsidR="00C909C4" w:rsidRPr="00E53E52">
        <w:rPr>
          <w:rFonts w:ascii="Century Schoolbook" w:hAnsi="Century Schoolbook"/>
        </w:rPr>
        <w:t>’</w:t>
      </w:r>
      <w:r w:rsidRPr="00E53E52">
        <w:rPr>
          <w:rFonts w:ascii="Century Schoolbook" w:hAnsi="Century Schoolbook"/>
        </w:rPr>
        <w:t xml:space="preserve">s claim that a Salvadoran cooperative organization of taxi drivers was a particular social group, because members could change jobs and working in their job of choice was not a </w:t>
      </w:r>
      <w:r w:rsidR="00C909C4" w:rsidRPr="00E53E52">
        <w:rPr>
          <w:rFonts w:ascii="Century Schoolbook" w:hAnsi="Century Schoolbook"/>
        </w:rPr>
        <w:t>“</w:t>
      </w:r>
      <w:r w:rsidRPr="00E53E52">
        <w:rPr>
          <w:rFonts w:ascii="Century Schoolbook" w:hAnsi="Century Schoolbook"/>
        </w:rPr>
        <w:t>fundamental</w:t>
      </w:r>
      <w:r w:rsidR="00C909C4" w:rsidRPr="00E53E52">
        <w:rPr>
          <w:rFonts w:ascii="Century Schoolbook" w:hAnsi="Century Schoolbook"/>
        </w:rPr>
        <w:t>”</w:t>
      </w:r>
      <w:r w:rsidRPr="00E53E52">
        <w:rPr>
          <w:rFonts w:ascii="Century Schoolbook" w:hAnsi="Century Schoolbook"/>
        </w:rPr>
        <w:t xml:space="preserve"> characteristic. </w:t>
      </w:r>
      <w:r w:rsidRPr="00E53E52">
        <w:rPr>
          <w:rFonts w:ascii="Century Schoolbook" w:hAnsi="Century Schoolbook"/>
          <w:i/>
          <w:iCs/>
        </w:rPr>
        <w:t>Id</w:t>
      </w:r>
      <w:r w:rsidRPr="00E53E52">
        <w:rPr>
          <w:rFonts w:ascii="Century Schoolbook" w:hAnsi="Century Schoolbook"/>
        </w:rPr>
        <w:t xml:space="preserve">. at 234. * * * </w:t>
      </w:r>
    </w:p>
    <w:p w14:paraId="38FF04D9" w14:textId="77777777" w:rsidR="00CB408E" w:rsidRPr="00E53E52" w:rsidRDefault="00CB408E" w:rsidP="00C61D06">
      <w:pPr>
        <w:spacing w:after="0"/>
        <w:jc w:val="center"/>
        <w:rPr>
          <w:rFonts w:ascii="Century Schoolbook" w:hAnsi="Century Schoolbook"/>
        </w:rPr>
      </w:pPr>
      <w:bookmarkStart w:id="11" w:name="sp_999_5"/>
      <w:bookmarkStart w:id="12" w:name="SDU_5"/>
      <w:bookmarkEnd w:id="7"/>
      <w:bookmarkEnd w:id="8"/>
      <w:r w:rsidRPr="00E53E52">
        <w:rPr>
          <w:rFonts w:ascii="Century Schoolbook" w:hAnsi="Century Schoolbook"/>
        </w:rPr>
        <w:t>* * *</w:t>
      </w:r>
    </w:p>
    <w:p w14:paraId="2A69D346" w14:textId="255B2169"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 xml:space="preserve">Now, close to three decades after </w:t>
      </w:r>
      <w:r w:rsidRPr="00E53E52">
        <w:rPr>
          <w:rFonts w:ascii="Century Schoolbook" w:hAnsi="Century Schoolbook"/>
          <w:i/>
          <w:iCs/>
        </w:rPr>
        <w:t>Acosta</w:t>
      </w:r>
      <w:r w:rsidRPr="00E53E52">
        <w:rPr>
          <w:rFonts w:ascii="Century Schoolbook" w:hAnsi="Century Schoolbook"/>
        </w:rPr>
        <w:t xml:space="preserve">, claims based on social group membership are numerous and varied. The generality permitted by the </w:t>
      </w:r>
      <w:r w:rsidRPr="00E53E52">
        <w:rPr>
          <w:rFonts w:ascii="Century Schoolbook" w:hAnsi="Century Schoolbook"/>
          <w:i/>
          <w:iCs/>
        </w:rPr>
        <w:t>Acosta</w:t>
      </w:r>
      <w:r w:rsidRPr="00E53E52">
        <w:rPr>
          <w:rFonts w:ascii="Century Schoolbook" w:hAnsi="Century Schoolbook"/>
        </w:rPr>
        <w:t xml:space="preserve"> standard provided flexibility in the adjudication of asylum claims. However, it also led to confusion and a lack of consistency as adjudicators struggled with various possible social groups, some of which appeared to be created exclusively for asylum purposes. </w:t>
      </w:r>
      <w:r w:rsidRPr="00E53E52">
        <w:rPr>
          <w:rFonts w:ascii="Century Schoolbook" w:hAnsi="Century Schoolbook"/>
          <w:i/>
          <w:iCs/>
        </w:rPr>
        <w:t xml:space="preserve">* * * </w:t>
      </w:r>
      <w:r w:rsidRPr="00E53E52">
        <w:rPr>
          <w:rFonts w:ascii="Century Schoolbook" w:hAnsi="Century Schoolbook"/>
          <w:iCs/>
        </w:rPr>
        <w:t>[We have also]</w:t>
      </w:r>
      <w:r w:rsidRPr="00E53E52">
        <w:rPr>
          <w:rFonts w:ascii="Century Schoolbook" w:hAnsi="Century Schoolbook"/>
        </w:rPr>
        <w:t xml:space="preserve"> cautioned that </w:t>
      </w:r>
      <w:r w:rsidR="00C909C4" w:rsidRPr="00E53E52">
        <w:rPr>
          <w:rFonts w:ascii="Century Schoolbook" w:hAnsi="Century Schoolbook"/>
        </w:rPr>
        <w:t>“</w:t>
      </w:r>
      <w:r w:rsidRPr="00E53E52">
        <w:rPr>
          <w:rFonts w:ascii="Century Schoolbook" w:hAnsi="Century Schoolbook"/>
        </w:rPr>
        <w:t>the social group concept would virtually swallow the entire refugee definition if common characteristics, coupled with a meaningful level of harm, were all that need be shown.</w:t>
      </w:r>
      <w:r w:rsidR="00C909C4" w:rsidRPr="00E53E52">
        <w:rPr>
          <w:rFonts w:ascii="Century Schoolbook" w:hAnsi="Century Schoolbook"/>
        </w:rPr>
        <w:t>”</w:t>
      </w:r>
    </w:p>
    <w:p w14:paraId="38DAE11F" w14:textId="77777777" w:rsidR="00CB408E" w:rsidRPr="00E53E52" w:rsidRDefault="00CB408E" w:rsidP="00C61D06">
      <w:pPr>
        <w:pStyle w:val="BodyText"/>
        <w:widowControl/>
        <w:spacing w:after="0"/>
        <w:ind w:firstLine="0"/>
        <w:jc w:val="center"/>
        <w:rPr>
          <w:rFonts w:ascii="Century Schoolbook" w:hAnsi="Century Schoolbook"/>
        </w:rPr>
      </w:pPr>
      <w:r w:rsidRPr="00E53E52">
        <w:rPr>
          <w:rFonts w:ascii="Century Schoolbook" w:hAnsi="Century Schoolbook"/>
        </w:rPr>
        <w:lastRenderedPageBreak/>
        <w:t>* * *</w:t>
      </w:r>
    </w:p>
    <w:bookmarkEnd w:id="11"/>
    <w:bookmarkEnd w:id="12"/>
    <w:p w14:paraId="3FFB410C" w14:textId="03E8B407"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 xml:space="preserve">In a series of cases, we applied the concepts of </w:t>
      </w:r>
      <w:r w:rsidR="00C909C4" w:rsidRPr="00E53E52">
        <w:rPr>
          <w:rFonts w:ascii="Century Schoolbook" w:hAnsi="Century Schoolbook"/>
        </w:rPr>
        <w:t>“</w:t>
      </w:r>
      <w:r w:rsidRPr="00E53E52">
        <w:rPr>
          <w:rFonts w:ascii="Century Schoolbook" w:hAnsi="Century Schoolbook"/>
        </w:rPr>
        <w:t>social visibility</w:t>
      </w:r>
      <w:r w:rsidR="00C909C4" w:rsidRPr="00E53E52">
        <w:rPr>
          <w:rFonts w:ascii="Century Schoolbook" w:hAnsi="Century Schoolbook"/>
        </w:rPr>
        <w:t>”</w:t>
      </w:r>
      <w:r w:rsidRPr="00E53E52">
        <w:rPr>
          <w:rFonts w:ascii="Century Schoolbook" w:hAnsi="Century Schoolbook"/>
        </w:rPr>
        <w:t xml:space="preserve"> and </w:t>
      </w:r>
      <w:r w:rsidR="00C909C4" w:rsidRPr="00E53E52">
        <w:rPr>
          <w:rFonts w:ascii="Century Schoolbook" w:hAnsi="Century Schoolbook"/>
        </w:rPr>
        <w:t>“</w:t>
      </w:r>
      <w:r w:rsidRPr="00E53E52">
        <w:rPr>
          <w:rFonts w:ascii="Century Schoolbook" w:hAnsi="Century Schoolbook"/>
        </w:rPr>
        <w:t>particularity</w:t>
      </w:r>
      <w:r w:rsidR="00C909C4" w:rsidRPr="00E53E52">
        <w:rPr>
          <w:rFonts w:ascii="Century Schoolbook" w:hAnsi="Century Schoolbook"/>
        </w:rPr>
        <w:t>”</w:t>
      </w:r>
      <w:r w:rsidRPr="00E53E52">
        <w:rPr>
          <w:rFonts w:ascii="Century Schoolbook" w:hAnsi="Century Schoolbook"/>
        </w:rPr>
        <w:t xml:space="preserve"> as important considerations in the particular social group analysis, and we ultimately deemed them to be requirements. </w:t>
      </w:r>
      <w:r w:rsidRPr="00E53E52">
        <w:rPr>
          <w:rFonts w:ascii="Century Schoolbook" w:hAnsi="Century Schoolbook"/>
          <w:i/>
          <w:iCs/>
        </w:rPr>
        <w:t>See Orellana-Monson v. Holder</w:t>
      </w:r>
      <w:r w:rsidRPr="00E53E52">
        <w:rPr>
          <w:rFonts w:ascii="Century Schoolbook" w:hAnsi="Century Schoolbook"/>
        </w:rPr>
        <w:t>, 685 F.3d 511, 521 (5th Cir. 2012). * * *</w:t>
      </w:r>
    </w:p>
    <w:p w14:paraId="24FB3A95" w14:textId="1001CC05" w:rsidR="00CB408E" w:rsidRPr="00E53E52" w:rsidRDefault="00CB408E" w:rsidP="0036367F">
      <w:pPr>
        <w:pStyle w:val="BodyText"/>
        <w:widowControl/>
        <w:spacing w:after="120"/>
        <w:ind w:firstLine="720"/>
        <w:rPr>
          <w:rFonts w:ascii="Century Schoolbook" w:hAnsi="Century Schoolbook"/>
        </w:rPr>
      </w:pPr>
      <w:bookmarkStart w:id="13" w:name="sp_999_6"/>
      <w:bookmarkStart w:id="14" w:name="SDU_6"/>
      <w:r w:rsidRPr="00E53E52">
        <w:rPr>
          <w:rFonts w:ascii="Century Schoolbook" w:hAnsi="Century Schoolbook"/>
        </w:rPr>
        <w:t xml:space="preserve">In </w:t>
      </w:r>
      <w:r w:rsidRPr="00E53E52">
        <w:rPr>
          <w:rFonts w:ascii="Century Schoolbook" w:hAnsi="Century Schoolbook"/>
          <w:i/>
          <w:iCs/>
        </w:rPr>
        <w:t>Matter of C–A–</w:t>
      </w:r>
      <w:r w:rsidRPr="00E53E52">
        <w:rPr>
          <w:rFonts w:ascii="Century Schoolbook" w:hAnsi="Century Schoolbook"/>
        </w:rPr>
        <w:t xml:space="preserve">, we recognized </w:t>
      </w:r>
      <w:r w:rsidR="00C909C4" w:rsidRPr="00E53E52">
        <w:rPr>
          <w:rFonts w:ascii="Century Schoolbook" w:hAnsi="Century Schoolbook"/>
        </w:rPr>
        <w:t>“</w:t>
      </w:r>
      <w:r w:rsidRPr="00E53E52">
        <w:rPr>
          <w:rFonts w:ascii="Century Schoolbook" w:hAnsi="Century Schoolbook"/>
        </w:rPr>
        <w:t>particularity</w:t>
      </w:r>
      <w:r w:rsidR="00C909C4" w:rsidRPr="00E53E52">
        <w:rPr>
          <w:rFonts w:ascii="Century Schoolbook" w:hAnsi="Century Schoolbook"/>
        </w:rPr>
        <w:t>”</w:t>
      </w:r>
      <w:r w:rsidRPr="00E53E52">
        <w:rPr>
          <w:rFonts w:ascii="Century Schoolbook" w:hAnsi="Century Schoolbook"/>
        </w:rPr>
        <w:t xml:space="preserve"> as a requirement in the particular social group analysis and held that the </w:t>
      </w:r>
      <w:r w:rsidR="00C909C4" w:rsidRPr="00E53E52">
        <w:rPr>
          <w:rFonts w:ascii="Century Schoolbook" w:hAnsi="Century Schoolbook"/>
        </w:rPr>
        <w:t>“</w:t>
      </w:r>
      <w:r w:rsidRPr="00E53E52">
        <w:rPr>
          <w:rFonts w:ascii="Century Schoolbook" w:hAnsi="Century Schoolbook"/>
        </w:rPr>
        <w:t>social visibility</w:t>
      </w:r>
      <w:r w:rsidR="00C909C4" w:rsidRPr="00E53E52">
        <w:rPr>
          <w:rFonts w:ascii="Century Schoolbook" w:hAnsi="Century Schoolbook"/>
        </w:rPr>
        <w:t>”</w:t>
      </w:r>
      <w:r w:rsidRPr="00E53E52">
        <w:rPr>
          <w:rFonts w:ascii="Century Schoolbook" w:hAnsi="Century Schoolbook"/>
        </w:rPr>
        <w:t xml:space="preserve"> of the members of a claimed social group is </w:t>
      </w:r>
      <w:r w:rsidR="00C909C4" w:rsidRPr="00E53E52">
        <w:rPr>
          <w:rFonts w:ascii="Century Schoolbook" w:hAnsi="Century Schoolbook"/>
        </w:rPr>
        <w:t>“</w:t>
      </w:r>
      <w:r w:rsidRPr="00E53E52">
        <w:rPr>
          <w:rFonts w:ascii="Century Schoolbook" w:hAnsi="Century Schoolbook"/>
        </w:rPr>
        <w:t>an important element in identifying the existence of a particular social group.</w:t>
      </w:r>
      <w:r w:rsidR="00C909C4" w:rsidRPr="00E53E52">
        <w:rPr>
          <w:rFonts w:ascii="Century Schoolbook" w:hAnsi="Century Schoolbook"/>
        </w:rPr>
        <w:t>”</w:t>
      </w:r>
      <w:r w:rsidRPr="00E53E52">
        <w:rPr>
          <w:rFonts w:ascii="Century Schoolbook" w:hAnsi="Century Schoolbook"/>
        </w:rPr>
        <w:t xml:space="preserve"> </w:t>
      </w:r>
      <w:r w:rsidRPr="00E53E52">
        <w:rPr>
          <w:rFonts w:ascii="Century Schoolbook" w:hAnsi="Century Schoolbook"/>
          <w:i/>
          <w:iCs/>
        </w:rPr>
        <w:t>Matter of C–A–</w:t>
      </w:r>
      <w:r w:rsidRPr="00E53E52">
        <w:rPr>
          <w:rFonts w:ascii="Century Schoolbook" w:hAnsi="Century Schoolbook"/>
        </w:rPr>
        <w:t xml:space="preserve">, 23 I&amp;N Dec. 951, 957, 959–61 (BIA 2006) (holding that </w:t>
      </w:r>
      <w:r w:rsidR="00C909C4" w:rsidRPr="00E53E52">
        <w:rPr>
          <w:rFonts w:ascii="Century Schoolbook" w:hAnsi="Century Schoolbook"/>
        </w:rPr>
        <w:t>“</w:t>
      </w:r>
      <w:r w:rsidRPr="00E53E52">
        <w:rPr>
          <w:rFonts w:ascii="Century Schoolbook" w:hAnsi="Century Schoolbook"/>
        </w:rPr>
        <w:t>noncriminal informants working against the Cali drug cartel</w:t>
      </w:r>
      <w:r w:rsidR="00C909C4" w:rsidRPr="00E53E52">
        <w:rPr>
          <w:rFonts w:ascii="Century Schoolbook" w:hAnsi="Century Schoolbook"/>
        </w:rPr>
        <w:t>”</w:t>
      </w:r>
      <w:r w:rsidRPr="00E53E52">
        <w:rPr>
          <w:rFonts w:ascii="Century Schoolbook" w:hAnsi="Century Schoolbook"/>
        </w:rPr>
        <w:t xml:space="preserve"> in Colombia were not a particular social group), </w:t>
      </w:r>
      <w:r w:rsidRPr="00E53E52">
        <w:rPr>
          <w:rFonts w:ascii="Century Schoolbook" w:hAnsi="Century Schoolbook"/>
          <w:i/>
          <w:iCs/>
        </w:rPr>
        <w:t>aff</w:t>
      </w:r>
      <w:r w:rsidR="00C909C4" w:rsidRPr="00E53E52">
        <w:rPr>
          <w:rFonts w:ascii="Century Schoolbook" w:hAnsi="Century Schoolbook"/>
          <w:i/>
          <w:iCs/>
        </w:rPr>
        <w:t>’</w:t>
      </w:r>
      <w:r w:rsidRPr="00E53E52">
        <w:rPr>
          <w:rFonts w:ascii="Century Schoolbook" w:hAnsi="Century Schoolbook"/>
          <w:i/>
          <w:iCs/>
        </w:rPr>
        <w:t xml:space="preserve">d </w:t>
      </w:r>
      <w:r w:rsidRPr="00E53E52">
        <w:rPr>
          <w:rFonts w:ascii="Century Schoolbook" w:hAnsi="Century Schoolbook"/>
        </w:rPr>
        <w:t xml:space="preserve">446 F.3d 1190 (11th Cir. 2006), </w:t>
      </w:r>
      <w:r w:rsidRPr="00E53E52">
        <w:rPr>
          <w:rFonts w:ascii="Century Schoolbook" w:hAnsi="Century Schoolbook"/>
          <w:i/>
          <w:iCs/>
        </w:rPr>
        <w:t>cert. denied</w:t>
      </w:r>
      <w:r w:rsidRPr="00E53E52">
        <w:rPr>
          <w:rFonts w:ascii="Century Schoolbook" w:hAnsi="Century Schoolbook"/>
        </w:rPr>
        <w:t xml:space="preserve">, 549 U.S. 1115 (2007). We subsequently determined that a </w:t>
      </w:r>
      <w:r w:rsidR="00C909C4" w:rsidRPr="00E53E52">
        <w:rPr>
          <w:rFonts w:ascii="Century Schoolbook" w:hAnsi="Century Schoolbook"/>
        </w:rPr>
        <w:t>“</w:t>
      </w:r>
      <w:r w:rsidRPr="00E53E52">
        <w:rPr>
          <w:rFonts w:ascii="Century Schoolbook" w:hAnsi="Century Schoolbook"/>
        </w:rPr>
        <w:t>particular social group</w:t>
      </w:r>
      <w:r w:rsidR="00C909C4" w:rsidRPr="00E53E52">
        <w:rPr>
          <w:rFonts w:ascii="Century Schoolbook" w:hAnsi="Century Schoolbook"/>
        </w:rPr>
        <w:t>”</w:t>
      </w:r>
      <w:r w:rsidRPr="00E53E52">
        <w:rPr>
          <w:rFonts w:ascii="Century Schoolbook" w:hAnsi="Century Schoolbook"/>
        </w:rPr>
        <w:t xml:space="preserve"> cannot be defined exclusively by the claimed persecution, that it must be </w:t>
      </w:r>
      <w:r w:rsidR="00C909C4" w:rsidRPr="00E53E52">
        <w:rPr>
          <w:rFonts w:ascii="Century Schoolbook" w:hAnsi="Century Schoolbook"/>
        </w:rPr>
        <w:t>“</w:t>
      </w:r>
      <w:r w:rsidRPr="00E53E52">
        <w:rPr>
          <w:rFonts w:ascii="Century Schoolbook" w:hAnsi="Century Schoolbook"/>
        </w:rPr>
        <w:t>recognizable</w:t>
      </w:r>
      <w:r w:rsidR="00C909C4" w:rsidRPr="00E53E52">
        <w:rPr>
          <w:rFonts w:ascii="Century Schoolbook" w:hAnsi="Century Schoolbook"/>
        </w:rPr>
        <w:t>”</w:t>
      </w:r>
      <w:r w:rsidRPr="00E53E52">
        <w:rPr>
          <w:rFonts w:ascii="Century Schoolbook" w:hAnsi="Century Schoolbook"/>
        </w:rPr>
        <w:t xml:space="preserve"> as a discrete group by others in the society, and that it must have well-defined boundaries. </w:t>
      </w:r>
      <w:r w:rsidRPr="00E53E52">
        <w:rPr>
          <w:rFonts w:ascii="Century Schoolbook" w:hAnsi="Century Schoolbook"/>
          <w:i/>
          <w:iCs/>
        </w:rPr>
        <w:t>Matter of A–M–E– &amp; J–G–U–</w:t>
      </w:r>
      <w:r w:rsidRPr="00E53E52">
        <w:rPr>
          <w:rFonts w:ascii="Century Schoolbook" w:hAnsi="Century Schoolbook"/>
        </w:rPr>
        <w:t xml:space="preserve">, 24 I&amp;N Dec. 69, 74–76 (BIA 2007) (holding that </w:t>
      </w:r>
      <w:r w:rsidR="00C909C4" w:rsidRPr="00E53E52">
        <w:rPr>
          <w:rFonts w:ascii="Century Schoolbook" w:hAnsi="Century Schoolbook"/>
        </w:rPr>
        <w:t>“</w:t>
      </w:r>
      <w:r w:rsidRPr="00E53E52">
        <w:rPr>
          <w:rFonts w:ascii="Century Schoolbook" w:hAnsi="Century Schoolbook"/>
        </w:rPr>
        <w:t>wealthy</w:t>
      </w:r>
      <w:r w:rsidR="00C909C4" w:rsidRPr="00E53E52">
        <w:rPr>
          <w:rFonts w:ascii="Century Schoolbook" w:hAnsi="Century Schoolbook"/>
        </w:rPr>
        <w:t>”</w:t>
      </w:r>
      <w:r w:rsidRPr="00E53E52">
        <w:rPr>
          <w:rFonts w:ascii="Century Schoolbook" w:hAnsi="Century Schoolbook"/>
        </w:rPr>
        <w:t xml:space="preserve"> Guatemalans were not shown to be a particular social group within the meaning of the </w:t>
      </w:r>
      <w:r w:rsidR="00C909C4" w:rsidRPr="00E53E52">
        <w:rPr>
          <w:rFonts w:ascii="Century Schoolbook" w:hAnsi="Century Schoolbook"/>
        </w:rPr>
        <w:t>“</w:t>
      </w:r>
      <w:r w:rsidRPr="00E53E52">
        <w:rPr>
          <w:rFonts w:ascii="Century Schoolbook" w:hAnsi="Century Schoolbook"/>
        </w:rPr>
        <w:t>refugee</w:t>
      </w:r>
      <w:r w:rsidR="00C909C4" w:rsidRPr="00E53E52">
        <w:rPr>
          <w:rFonts w:ascii="Century Schoolbook" w:hAnsi="Century Schoolbook"/>
        </w:rPr>
        <w:t>”</w:t>
      </w:r>
      <w:r w:rsidRPr="00E53E52">
        <w:rPr>
          <w:rFonts w:ascii="Century Schoolbook" w:hAnsi="Century Schoolbook"/>
        </w:rPr>
        <w:t xml:space="preserve"> description), </w:t>
      </w:r>
      <w:r w:rsidRPr="00E53E52">
        <w:rPr>
          <w:rFonts w:ascii="Century Schoolbook" w:hAnsi="Century Schoolbook"/>
          <w:i/>
          <w:iCs/>
        </w:rPr>
        <w:t>aff</w:t>
      </w:r>
      <w:r w:rsidR="00C909C4" w:rsidRPr="00E53E52">
        <w:rPr>
          <w:rFonts w:ascii="Century Schoolbook" w:hAnsi="Century Schoolbook"/>
          <w:i/>
          <w:iCs/>
        </w:rPr>
        <w:t>’</w:t>
      </w:r>
      <w:r w:rsidRPr="00E53E52">
        <w:rPr>
          <w:rFonts w:ascii="Century Schoolbook" w:hAnsi="Century Schoolbook"/>
          <w:i/>
          <w:iCs/>
        </w:rPr>
        <w:t xml:space="preserve">d </w:t>
      </w:r>
      <w:r w:rsidRPr="00E53E52">
        <w:rPr>
          <w:rFonts w:ascii="Century Schoolbook" w:hAnsi="Century Schoolbook"/>
        </w:rPr>
        <w:t>509 F.3d 70 (2d Cir. 2007).</w:t>
      </w:r>
    </w:p>
    <w:p w14:paraId="55033C12" w14:textId="565CCC3F"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 xml:space="preserve">Finally, in 2008, we issued </w:t>
      </w:r>
      <w:r w:rsidRPr="00E53E52">
        <w:rPr>
          <w:rFonts w:ascii="Century Schoolbook" w:hAnsi="Century Schoolbook"/>
          <w:i/>
          <w:iCs/>
        </w:rPr>
        <w:t>Matter of S–E–G–</w:t>
      </w:r>
      <w:r w:rsidRPr="00E53E52">
        <w:rPr>
          <w:rFonts w:ascii="Century Schoolbook" w:hAnsi="Century Schoolbook"/>
        </w:rPr>
        <w:t xml:space="preserve">[, 24 I&amp;N Dec. 579 (BIA 2008),] and </w:t>
      </w:r>
      <w:r w:rsidRPr="00E53E52">
        <w:rPr>
          <w:rFonts w:ascii="Century Schoolbook" w:hAnsi="Century Schoolbook"/>
          <w:i/>
          <w:iCs/>
        </w:rPr>
        <w:t>Matter of E–A–G–</w:t>
      </w:r>
      <w:r w:rsidRPr="00E53E52">
        <w:rPr>
          <w:rFonts w:ascii="Century Schoolbook" w:hAnsi="Century Schoolbook"/>
        </w:rPr>
        <w:t xml:space="preserve">, [24 I&amp;N Dec. 591 (BIA 2008),] in which we held that – in addition to the common immutable characteristic requirement set forth in </w:t>
      </w:r>
      <w:r w:rsidRPr="00E53E52">
        <w:rPr>
          <w:rFonts w:ascii="Century Schoolbook" w:hAnsi="Century Schoolbook"/>
          <w:i/>
          <w:iCs/>
        </w:rPr>
        <w:t>Acosta</w:t>
      </w:r>
      <w:r w:rsidRPr="00E53E52">
        <w:rPr>
          <w:rFonts w:ascii="Century Schoolbook" w:hAnsi="Century Schoolbook"/>
        </w:rPr>
        <w:t xml:space="preserve"> – the previously introduced concepts of </w:t>
      </w:r>
      <w:r w:rsidR="00C909C4" w:rsidRPr="00E53E52">
        <w:rPr>
          <w:rFonts w:ascii="Century Schoolbook" w:hAnsi="Century Schoolbook"/>
        </w:rPr>
        <w:t>“</w:t>
      </w:r>
      <w:r w:rsidRPr="00E53E52">
        <w:rPr>
          <w:rFonts w:ascii="Century Schoolbook" w:hAnsi="Century Schoolbook"/>
        </w:rPr>
        <w:t>particularity</w:t>
      </w:r>
      <w:r w:rsidR="00C909C4" w:rsidRPr="00E53E52">
        <w:rPr>
          <w:rFonts w:ascii="Century Schoolbook" w:hAnsi="Century Schoolbook"/>
        </w:rPr>
        <w:t>”</w:t>
      </w:r>
      <w:r w:rsidRPr="00E53E52">
        <w:rPr>
          <w:rFonts w:ascii="Century Schoolbook" w:hAnsi="Century Schoolbook"/>
        </w:rPr>
        <w:t xml:space="preserve"> and </w:t>
      </w:r>
      <w:r w:rsidR="00C909C4" w:rsidRPr="00E53E52">
        <w:rPr>
          <w:rFonts w:ascii="Century Schoolbook" w:hAnsi="Century Schoolbook"/>
        </w:rPr>
        <w:t>“</w:t>
      </w:r>
      <w:r w:rsidRPr="00E53E52">
        <w:rPr>
          <w:rFonts w:ascii="Century Schoolbook" w:hAnsi="Century Schoolbook"/>
        </w:rPr>
        <w:t>social visibility</w:t>
      </w:r>
      <w:r w:rsidR="00C909C4" w:rsidRPr="00E53E52">
        <w:rPr>
          <w:rFonts w:ascii="Century Schoolbook" w:hAnsi="Century Schoolbook"/>
        </w:rPr>
        <w:t>”</w:t>
      </w:r>
      <w:r w:rsidRPr="00E53E52">
        <w:rPr>
          <w:rFonts w:ascii="Century Schoolbook" w:hAnsi="Century Schoolbook"/>
        </w:rPr>
        <w:t xml:space="preserve"> were distinct requirements for the </w:t>
      </w:r>
      <w:r w:rsidR="00C909C4" w:rsidRPr="00E53E52">
        <w:rPr>
          <w:rFonts w:ascii="Century Schoolbook" w:hAnsi="Century Schoolbook"/>
        </w:rPr>
        <w:t>“</w:t>
      </w:r>
      <w:r w:rsidRPr="00E53E52">
        <w:rPr>
          <w:rFonts w:ascii="Century Schoolbook" w:hAnsi="Century Schoolbook"/>
        </w:rPr>
        <w:t>membership in a particular social group</w:t>
      </w:r>
      <w:r w:rsidR="00C909C4" w:rsidRPr="00E53E52">
        <w:rPr>
          <w:rFonts w:ascii="Century Schoolbook" w:hAnsi="Century Schoolbook"/>
        </w:rPr>
        <w:t>”</w:t>
      </w:r>
      <w:r w:rsidRPr="00E53E52">
        <w:rPr>
          <w:rFonts w:ascii="Century Schoolbook" w:hAnsi="Century Schoolbook"/>
        </w:rPr>
        <w:t xml:space="preserve"> ground of persecution. * * *</w:t>
      </w:r>
    </w:p>
    <w:bookmarkEnd w:id="13"/>
    <w:bookmarkEnd w:id="14"/>
    <w:p w14:paraId="7824657D" w14:textId="77777777"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 xml:space="preserve">Our articulation of these requirements has been met with approval in the clear majority of the Federal courts of appeals [citing cases from the 1st, 2d, 4th, 6th, 8th, 10th, and 11th Circuits]. However, it has not been universally accepted [citing cases from the 3d and 7th Circuits]. </w:t>
      </w:r>
    </w:p>
    <w:p w14:paraId="27565C48" w14:textId="0CF397E3" w:rsidR="00CB408E" w:rsidRPr="00E53E52" w:rsidRDefault="00CB408E" w:rsidP="0036367F">
      <w:pPr>
        <w:pStyle w:val="BodyText"/>
        <w:widowControl/>
        <w:spacing w:after="120"/>
        <w:ind w:firstLine="720"/>
        <w:rPr>
          <w:rFonts w:ascii="Century Schoolbook" w:hAnsi="Century Schoolbook"/>
        </w:rPr>
      </w:pPr>
      <w:bookmarkStart w:id="15" w:name="sp_999_7"/>
      <w:bookmarkStart w:id="16" w:name="SDU_7"/>
      <w:r w:rsidRPr="00E53E52">
        <w:rPr>
          <w:rFonts w:ascii="Century Schoolbook" w:hAnsi="Century Schoolbook"/>
        </w:rPr>
        <w:t xml:space="preserve">* * * [T]he respondent and amici curiae [including UNHCR] argue that the Board should disavow the requirements of </w:t>
      </w:r>
      <w:r w:rsidR="00C909C4" w:rsidRPr="00E53E52">
        <w:rPr>
          <w:rFonts w:ascii="Century Schoolbook" w:hAnsi="Century Schoolbook"/>
        </w:rPr>
        <w:t>“</w:t>
      </w:r>
      <w:r w:rsidRPr="00E53E52">
        <w:rPr>
          <w:rFonts w:ascii="Century Schoolbook" w:hAnsi="Century Schoolbook"/>
        </w:rPr>
        <w:t>social visibility</w:t>
      </w:r>
      <w:r w:rsidR="00C909C4" w:rsidRPr="00E53E52">
        <w:rPr>
          <w:rFonts w:ascii="Century Schoolbook" w:hAnsi="Century Schoolbook"/>
        </w:rPr>
        <w:t>”</w:t>
      </w:r>
      <w:r w:rsidRPr="00E53E52">
        <w:rPr>
          <w:rFonts w:ascii="Century Schoolbook" w:hAnsi="Century Schoolbook"/>
        </w:rPr>
        <w:t xml:space="preserve"> and </w:t>
      </w:r>
      <w:r w:rsidR="00C909C4" w:rsidRPr="00E53E52">
        <w:rPr>
          <w:rFonts w:ascii="Century Schoolbook" w:hAnsi="Century Schoolbook"/>
        </w:rPr>
        <w:t>“</w:t>
      </w:r>
      <w:r w:rsidRPr="00E53E52">
        <w:rPr>
          <w:rFonts w:ascii="Century Schoolbook" w:hAnsi="Century Schoolbook"/>
        </w:rPr>
        <w:t>particularity</w:t>
      </w:r>
      <w:r w:rsidR="00C909C4" w:rsidRPr="00E53E52">
        <w:rPr>
          <w:rFonts w:ascii="Century Schoolbook" w:hAnsi="Century Schoolbook"/>
        </w:rPr>
        <w:t>”</w:t>
      </w:r>
      <w:r w:rsidRPr="00E53E52">
        <w:rPr>
          <w:rFonts w:ascii="Century Schoolbook" w:hAnsi="Century Schoolbook"/>
        </w:rPr>
        <w:t xml:space="preserve"> and should restore </w:t>
      </w:r>
      <w:r w:rsidRPr="00E53E52">
        <w:rPr>
          <w:rFonts w:ascii="Century Schoolbook" w:hAnsi="Century Schoolbook"/>
          <w:i/>
          <w:iCs/>
        </w:rPr>
        <w:t>Matter of Acosta</w:t>
      </w:r>
      <w:r w:rsidRPr="00E53E52">
        <w:rPr>
          <w:rFonts w:ascii="Century Schoolbook" w:hAnsi="Century Schoolbook"/>
        </w:rPr>
        <w:t xml:space="preserve"> as the sole standard for determining a particular social group. The Department of Homeland Security (</w:t>
      </w:r>
      <w:r w:rsidR="00C909C4" w:rsidRPr="00E53E52">
        <w:rPr>
          <w:rFonts w:ascii="Century Schoolbook" w:hAnsi="Century Schoolbook"/>
        </w:rPr>
        <w:t>“</w:t>
      </w:r>
      <w:r w:rsidRPr="00E53E52">
        <w:rPr>
          <w:rFonts w:ascii="Century Schoolbook" w:hAnsi="Century Schoolbook"/>
        </w:rPr>
        <w:t>DHS</w:t>
      </w:r>
      <w:r w:rsidR="00C909C4" w:rsidRPr="00E53E52">
        <w:rPr>
          <w:rFonts w:ascii="Century Schoolbook" w:hAnsi="Century Schoolbook"/>
        </w:rPr>
        <w:t>”</w:t>
      </w:r>
      <w:r w:rsidRPr="00E53E52">
        <w:rPr>
          <w:rFonts w:ascii="Century Schoolbook" w:hAnsi="Century Schoolbook"/>
        </w:rPr>
        <w:t xml:space="preserve">) argues that </w:t>
      </w:r>
      <w:r w:rsidR="00C909C4" w:rsidRPr="00E53E52">
        <w:rPr>
          <w:rFonts w:ascii="Century Schoolbook" w:hAnsi="Century Schoolbook"/>
        </w:rPr>
        <w:t>“</w:t>
      </w:r>
      <w:r w:rsidRPr="00E53E52">
        <w:rPr>
          <w:rFonts w:ascii="Century Schoolbook" w:hAnsi="Century Schoolbook"/>
        </w:rPr>
        <w:t>social visibility</w:t>
      </w:r>
      <w:r w:rsidR="00C909C4" w:rsidRPr="00E53E52">
        <w:rPr>
          <w:rFonts w:ascii="Century Schoolbook" w:hAnsi="Century Schoolbook"/>
        </w:rPr>
        <w:t>”</w:t>
      </w:r>
      <w:r w:rsidRPr="00E53E52">
        <w:rPr>
          <w:rFonts w:ascii="Century Schoolbook" w:hAnsi="Century Schoolbook"/>
        </w:rPr>
        <w:t xml:space="preserve"> and </w:t>
      </w:r>
      <w:r w:rsidR="00C909C4" w:rsidRPr="00E53E52">
        <w:rPr>
          <w:rFonts w:ascii="Century Schoolbook" w:hAnsi="Century Schoolbook"/>
        </w:rPr>
        <w:t>“</w:t>
      </w:r>
      <w:r w:rsidRPr="00E53E52">
        <w:rPr>
          <w:rFonts w:ascii="Century Schoolbook" w:hAnsi="Century Schoolbook"/>
        </w:rPr>
        <w:t>particularity</w:t>
      </w:r>
      <w:r w:rsidR="00C909C4" w:rsidRPr="00E53E52">
        <w:rPr>
          <w:rFonts w:ascii="Century Schoolbook" w:hAnsi="Century Schoolbook"/>
        </w:rPr>
        <w:t>”</w:t>
      </w:r>
      <w:r w:rsidRPr="00E53E52">
        <w:rPr>
          <w:rFonts w:ascii="Century Schoolbook" w:hAnsi="Century Schoolbook"/>
        </w:rPr>
        <w:t xml:space="preserve"> are valid refinements to the particular social group interpretation but that the two concepts should be clarified and streamlined into a single requirement.</w:t>
      </w:r>
    </w:p>
    <w:p w14:paraId="371EF0FA" w14:textId="77777777" w:rsidR="00CB408E" w:rsidRPr="00E53E52" w:rsidRDefault="00CB408E" w:rsidP="001D1D6E">
      <w:pPr>
        <w:spacing w:after="120"/>
        <w:jc w:val="center"/>
        <w:outlineLvl w:val="0"/>
        <w:rPr>
          <w:rFonts w:ascii="Century Schoolbook" w:hAnsi="Century Schoolbook"/>
        </w:rPr>
      </w:pPr>
      <w:r w:rsidRPr="00E53E52">
        <w:rPr>
          <w:rFonts w:ascii="Century Schoolbook" w:hAnsi="Century Schoolbook"/>
        </w:rPr>
        <w:t>IV. ANALYSIS</w:t>
      </w:r>
    </w:p>
    <w:p w14:paraId="390F70DA" w14:textId="677F01B7"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 xml:space="preserve">We take this opportunity to clarify our interpretation of the phrase </w:t>
      </w:r>
      <w:r w:rsidR="00C909C4" w:rsidRPr="00E53E52">
        <w:rPr>
          <w:rFonts w:ascii="Century Schoolbook" w:hAnsi="Century Schoolbook"/>
        </w:rPr>
        <w:t>““</w:t>
      </w:r>
      <w:r w:rsidRPr="00E53E52">
        <w:rPr>
          <w:rFonts w:ascii="Century Schoolbook" w:hAnsi="Century Schoolbook"/>
        </w:rPr>
        <w:t>membership in a particular social group.</w:t>
      </w:r>
      <w:r w:rsidR="00C909C4" w:rsidRPr="00E53E52">
        <w:rPr>
          <w:rFonts w:ascii="Century Schoolbook" w:hAnsi="Century Schoolbook"/>
        </w:rPr>
        <w:t>”</w:t>
      </w:r>
      <w:r w:rsidRPr="00E53E52">
        <w:rPr>
          <w:rFonts w:ascii="Century Schoolbook" w:hAnsi="Century Schoolbook"/>
        </w:rPr>
        <w:t xml:space="preserve"> In doing so, we adhere to the social group requirements announced in </w:t>
      </w:r>
      <w:r w:rsidRPr="00E53E52">
        <w:rPr>
          <w:rFonts w:ascii="Century Schoolbook" w:hAnsi="Century Schoolbook"/>
          <w:i/>
          <w:iCs/>
        </w:rPr>
        <w:t>Matter of S–E–G–</w:t>
      </w:r>
      <w:r w:rsidRPr="00E53E52">
        <w:rPr>
          <w:rFonts w:ascii="Century Schoolbook" w:hAnsi="Century Schoolbook"/>
        </w:rPr>
        <w:t xml:space="preserve"> and </w:t>
      </w:r>
      <w:r w:rsidRPr="00E53E52">
        <w:rPr>
          <w:rFonts w:ascii="Century Schoolbook" w:hAnsi="Century Schoolbook"/>
          <w:i/>
          <w:iCs/>
        </w:rPr>
        <w:t>Matter of E–A–G–</w:t>
      </w:r>
      <w:r w:rsidRPr="00E53E52">
        <w:rPr>
          <w:rFonts w:ascii="Century Schoolbook" w:hAnsi="Century Schoolbook"/>
        </w:rPr>
        <w:t xml:space="preserve">, as further explained here and in </w:t>
      </w:r>
      <w:r w:rsidRPr="00E53E52">
        <w:rPr>
          <w:rFonts w:ascii="Century Schoolbook" w:hAnsi="Century Schoolbook"/>
          <w:i/>
          <w:iCs/>
        </w:rPr>
        <w:t>Matter of W–G–R–</w:t>
      </w:r>
      <w:r w:rsidRPr="00E53E52">
        <w:rPr>
          <w:rFonts w:ascii="Century Schoolbook" w:hAnsi="Century Schoolbook"/>
        </w:rPr>
        <w:t>, 26 I&amp;N Dec. 208 (BIA 2014), a decision published as a companion to this case.</w:t>
      </w:r>
      <w:r w:rsidRPr="00E53E52">
        <w:rPr>
          <w:rStyle w:val="FootnoteReference"/>
          <w:rFonts w:ascii="Century Schoolbook" w:hAnsi="Century Schoolbook"/>
        </w:rPr>
        <w:footnoteReference w:customMarkFollows="1" w:id="2"/>
        <w:t>9</w:t>
      </w:r>
      <w:r w:rsidRPr="00E53E52">
        <w:rPr>
          <w:rFonts w:ascii="Century Schoolbook" w:hAnsi="Century Schoolbook"/>
        </w:rPr>
        <w:t xml:space="preserve"> </w:t>
      </w:r>
      <w:r w:rsidRPr="00E53E52">
        <w:rPr>
          <w:rFonts w:ascii="Century Schoolbook" w:hAnsi="Century Schoolbook"/>
          <w:i/>
          <w:iCs/>
        </w:rPr>
        <w:t>* * *</w:t>
      </w:r>
    </w:p>
    <w:p w14:paraId="2069205B" w14:textId="77777777" w:rsidR="00CB408E" w:rsidRPr="00E53E52" w:rsidRDefault="00CB408E" w:rsidP="001D1D6E">
      <w:pPr>
        <w:spacing w:after="120"/>
        <w:jc w:val="center"/>
        <w:outlineLvl w:val="0"/>
        <w:rPr>
          <w:rFonts w:ascii="Century Schoolbook" w:hAnsi="Century Schoolbook"/>
        </w:rPr>
      </w:pPr>
      <w:r w:rsidRPr="00E53E52">
        <w:rPr>
          <w:rFonts w:ascii="Century Schoolbook" w:hAnsi="Century Schoolbook"/>
        </w:rPr>
        <w:lastRenderedPageBreak/>
        <w:t>A. Protection Within the Refugee Context</w:t>
      </w:r>
    </w:p>
    <w:p w14:paraId="7C0B0FA2" w14:textId="1C334EEF"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 xml:space="preserve">The interpretation of the phrase </w:t>
      </w:r>
      <w:r w:rsidR="00C909C4" w:rsidRPr="00E53E52">
        <w:rPr>
          <w:rFonts w:ascii="Century Schoolbook" w:hAnsi="Century Schoolbook"/>
        </w:rPr>
        <w:t>“</w:t>
      </w:r>
      <w:r w:rsidRPr="00E53E52">
        <w:rPr>
          <w:rFonts w:ascii="Century Schoolbook" w:hAnsi="Century Schoolbook"/>
        </w:rPr>
        <w:t>membership in a particular social group</w:t>
      </w:r>
      <w:r w:rsidR="00C909C4" w:rsidRPr="00E53E52">
        <w:rPr>
          <w:rFonts w:ascii="Century Schoolbook" w:hAnsi="Century Schoolbook"/>
        </w:rPr>
        <w:t>”</w:t>
      </w:r>
      <w:r w:rsidRPr="00E53E52">
        <w:rPr>
          <w:rFonts w:ascii="Century Schoolbook" w:hAnsi="Century Schoolbook"/>
        </w:rPr>
        <w:t xml:space="preserve"> does not occur in a contextual vacuum. </w:t>
      </w:r>
      <w:r w:rsidRPr="00E53E52">
        <w:rPr>
          <w:rFonts w:ascii="Century Schoolbook" w:hAnsi="Century Schoolbook"/>
          <w:i/>
          <w:iCs/>
        </w:rPr>
        <w:t>* * *</w:t>
      </w:r>
      <w:r w:rsidR="00810FDA" w:rsidRPr="00E53E52">
        <w:rPr>
          <w:rFonts w:ascii="Century Schoolbook" w:hAnsi="Century Schoolbook"/>
          <w:i/>
          <w:iCs/>
        </w:rPr>
        <w:t xml:space="preserve"> </w:t>
      </w:r>
    </w:p>
    <w:bookmarkEnd w:id="15"/>
    <w:bookmarkEnd w:id="16"/>
    <w:p w14:paraId="4F63AC1E" w14:textId="52362ED9"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 xml:space="preserve">The Act and the Protocol * * * identify </w:t>
      </w:r>
      <w:r w:rsidR="00C909C4" w:rsidRPr="00E53E52">
        <w:rPr>
          <w:rFonts w:ascii="Century Schoolbook" w:hAnsi="Century Schoolbook"/>
        </w:rPr>
        <w:t>“</w:t>
      </w:r>
      <w:r w:rsidRPr="00E53E52">
        <w:rPr>
          <w:rFonts w:ascii="Century Schoolbook" w:hAnsi="Century Schoolbook"/>
        </w:rPr>
        <w:t>refugees</w:t>
      </w:r>
      <w:r w:rsidR="00C909C4" w:rsidRPr="00E53E52">
        <w:rPr>
          <w:rFonts w:ascii="Century Schoolbook" w:hAnsi="Century Schoolbook"/>
        </w:rPr>
        <w:t>”</w:t>
      </w:r>
      <w:r w:rsidRPr="00E53E52">
        <w:rPr>
          <w:rFonts w:ascii="Century Schoolbook" w:hAnsi="Century Schoolbook"/>
        </w:rPr>
        <w:t xml:space="preserve"> as only those who face persecution on account of </w:t>
      </w:r>
      <w:r w:rsidR="00C909C4" w:rsidRPr="00E53E52">
        <w:rPr>
          <w:rFonts w:ascii="Century Schoolbook" w:hAnsi="Century Schoolbook"/>
        </w:rPr>
        <w:t>“</w:t>
      </w:r>
      <w:r w:rsidRPr="00E53E52">
        <w:rPr>
          <w:rFonts w:ascii="Century Schoolbook" w:hAnsi="Century Schoolbook"/>
        </w:rPr>
        <w:t xml:space="preserve">race, religion, nationality, membership in a </w:t>
      </w:r>
      <w:bookmarkStart w:id="17" w:name="sp_1650_235"/>
      <w:bookmarkStart w:id="18" w:name="SDU_235"/>
      <w:bookmarkEnd w:id="17"/>
      <w:bookmarkEnd w:id="18"/>
      <w:r w:rsidRPr="00E53E52">
        <w:rPr>
          <w:rFonts w:ascii="Century Schoolbook" w:hAnsi="Century Schoolbook"/>
        </w:rPr>
        <w:t>particular social group, or political opinion.</w:t>
      </w:r>
      <w:r w:rsidR="00C909C4" w:rsidRPr="00E53E52">
        <w:rPr>
          <w:rFonts w:ascii="Century Schoolbook" w:hAnsi="Century Schoolbook"/>
        </w:rPr>
        <w:t>”</w:t>
      </w:r>
      <w:r w:rsidRPr="00E53E52">
        <w:rPr>
          <w:rFonts w:ascii="Century Schoolbook" w:hAnsi="Century Schoolbook"/>
        </w:rPr>
        <w:t xml:space="preserve"> </w:t>
      </w:r>
    </w:p>
    <w:p w14:paraId="3DCED4E3" w14:textId="77777777" w:rsidR="00CB408E" w:rsidRPr="00E53E52" w:rsidRDefault="00CB408E" w:rsidP="0036367F">
      <w:pPr>
        <w:pStyle w:val="BodyText"/>
        <w:widowControl/>
        <w:spacing w:after="120"/>
        <w:ind w:firstLine="720"/>
        <w:rPr>
          <w:rFonts w:ascii="Century Schoolbook" w:hAnsi="Century Schoolbook"/>
        </w:rPr>
      </w:pPr>
      <w:bookmarkStart w:id="19" w:name="sp_999_8"/>
      <w:bookmarkStart w:id="20" w:name="SDU_8"/>
      <w:r w:rsidRPr="00E53E52">
        <w:rPr>
          <w:rFonts w:ascii="Century Schoolbook" w:hAnsi="Century Schoolbook"/>
        </w:rPr>
        <w:t xml:space="preserve">The limited nature of the protection offered by refugee law is highlighted by the fact that it does not cover those fleeing from natural or economic disaster, civil strife, or war. </w:t>
      </w:r>
      <w:r w:rsidRPr="00E53E52">
        <w:rPr>
          <w:rFonts w:ascii="Century Schoolbook" w:hAnsi="Century Schoolbook"/>
          <w:i/>
          <w:iCs/>
        </w:rPr>
        <w:t>See Matter of Sosa Ventura</w:t>
      </w:r>
      <w:r w:rsidRPr="00E53E52">
        <w:rPr>
          <w:rFonts w:ascii="Century Schoolbook" w:hAnsi="Century Schoolbook"/>
        </w:rPr>
        <w:t xml:space="preserve">, 25 I&amp;N Dec. 391, 394 (BIA 2010) (explaining that Congress created the alternative relief of Temporary Protected Status because individuals fleeing from life-threatening natural disasters or a generalized state of violence within a country are not entitled to asylum). Similarly, asylum and refugee laws do not protect people from general conditions of strife, such as crime and other societal afflictions. </w:t>
      </w:r>
    </w:p>
    <w:p w14:paraId="42C9E813" w14:textId="77777777" w:rsidR="00CB408E" w:rsidRPr="00E53E52" w:rsidRDefault="00CB408E" w:rsidP="0036367F">
      <w:pPr>
        <w:pStyle w:val="BodyText"/>
        <w:widowControl/>
        <w:spacing w:after="120"/>
        <w:ind w:firstLine="720"/>
        <w:rPr>
          <w:rFonts w:ascii="Century Schoolbook" w:hAnsi="Century Schoolbook"/>
          <w:i/>
          <w:iCs/>
        </w:rPr>
      </w:pPr>
      <w:r w:rsidRPr="00E53E52">
        <w:rPr>
          <w:rFonts w:ascii="Century Schoolbook" w:hAnsi="Century Schoolbook"/>
        </w:rPr>
        <w:t xml:space="preserve">Unless an applicant has been targeted on a protected basis, he or she cannot establish a claim for asylum. </w:t>
      </w:r>
      <w:r w:rsidRPr="00E53E52">
        <w:rPr>
          <w:rFonts w:ascii="Century Schoolbook" w:hAnsi="Century Schoolbook"/>
          <w:i/>
          <w:iCs/>
        </w:rPr>
        <w:t>* * *</w:t>
      </w:r>
    </w:p>
    <w:bookmarkEnd w:id="19"/>
    <w:bookmarkEnd w:id="20"/>
    <w:p w14:paraId="56D8F20C" w14:textId="698E22A0"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 xml:space="preserve">The </w:t>
      </w:r>
      <w:r w:rsidR="00C909C4" w:rsidRPr="00E53E52">
        <w:rPr>
          <w:rFonts w:ascii="Century Schoolbook" w:hAnsi="Century Schoolbook"/>
        </w:rPr>
        <w:t>“</w:t>
      </w:r>
      <w:r w:rsidRPr="00E53E52">
        <w:rPr>
          <w:rFonts w:ascii="Century Schoolbook" w:hAnsi="Century Schoolbook"/>
        </w:rPr>
        <w:t>membership in a particular social group</w:t>
      </w:r>
      <w:r w:rsidR="00C909C4" w:rsidRPr="00E53E52">
        <w:rPr>
          <w:rFonts w:ascii="Century Schoolbook" w:hAnsi="Century Schoolbook"/>
        </w:rPr>
        <w:t>”</w:t>
      </w:r>
      <w:r w:rsidRPr="00E53E52">
        <w:rPr>
          <w:rFonts w:ascii="Century Schoolbook" w:hAnsi="Century Schoolbook"/>
        </w:rPr>
        <w:t xml:space="preserve"> ground of persecution was not initially included in the refugee definition proposed by the committee that drafted the U.N. Convention; it was added later without discussion. The guidelines to the Protocol issued by the United Nations High Commissioner for Refugees (</w:t>
      </w:r>
      <w:r w:rsidR="00C909C4" w:rsidRPr="00E53E52">
        <w:rPr>
          <w:rFonts w:ascii="Century Schoolbook" w:hAnsi="Century Schoolbook"/>
        </w:rPr>
        <w:t>“</w:t>
      </w:r>
      <w:r w:rsidRPr="00E53E52">
        <w:rPr>
          <w:rFonts w:ascii="Century Schoolbook" w:hAnsi="Century Schoolbook"/>
        </w:rPr>
        <w:t>UNHCR</w:t>
      </w:r>
      <w:r w:rsidR="00C909C4" w:rsidRPr="00E53E52">
        <w:rPr>
          <w:rFonts w:ascii="Century Schoolbook" w:hAnsi="Century Schoolbook"/>
        </w:rPr>
        <w:t>”</w:t>
      </w:r>
      <w:r w:rsidRPr="00E53E52">
        <w:rPr>
          <w:rFonts w:ascii="Century Schoolbook" w:hAnsi="Century Schoolbook"/>
        </w:rPr>
        <w:t xml:space="preserve">) clearly state that the particular social group category was not meant to be </w:t>
      </w:r>
      <w:r w:rsidR="00C909C4" w:rsidRPr="00E53E52">
        <w:rPr>
          <w:rFonts w:ascii="Century Schoolbook" w:hAnsi="Century Schoolbook"/>
        </w:rPr>
        <w:t>“</w:t>
      </w:r>
      <w:r w:rsidRPr="00E53E52">
        <w:rPr>
          <w:rFonts w:ascii="Century Schoolbook" w:hAnsi="Century Schoolbook"/>
        </w:rPr>
        <w:t xml:space="preserve">a </w:t>
      </w:r>
      <w:r w:rsidR="00C909C4" w:rsidRPr="00E53E52">
        <w:rPr>
          <w:rFonts w:ascii="Century Schoolbook" w:hAnsi="Century Schoolbook"/>
        </w:rPr>
        <w:t>‘</w:t>
      </w:r>
      <w:r w:rsidRPr="00E53E52">
        <w:rPr>
          <w:rFonts w:ascii="Century Schoolbook" w:hAnsi="Century Schoolbook"/>
        </w:rPr>
        <w:t>catch all</w:t>
      </w:r>
      <w:r w:rsidR="00C909C4" w:rsidRPr="00E53E52">
        <w:rPr>
          <w:rFonts w:ascii="Century Schoolbook" w:hAnsi="Century Schoolbook"/>
        </w:rPr>
        <w:t>’</w:t>
      </w:r>
      <w:r w:rsidRPr="00E53E52">
        <w:rPr>
          <w:rFonts w:ascii="Century Schoolbook" w:hAnsi="Century Schoolbook"/>
        </w:rPr>
        <w:t xml:space="preserve"> that applies to all persons fearing persecution.</w:t>
      </w:r>
      <w:r w:rsidR="00C909C4" w:rsidRPr="00E53E52">
        <w:rPr>
          <w:rFonts w:ascii="Century Schoolbook" w:hAnsi="Century Schoolbook"/>
        </w:rPr>
        <w:t>”</w:t>
      </w:r>
      <w:r w:rsidRPr="00E53E52">
        <w:rPr>
          <w:rFonts w:ascii="Century Schoolbook" w:hAnsi="Century Schoolbook"/>
        </w:rPr>
        <w:t xml:space="preserve"> </w:t>
      </w:r>
    </w:p>
    <w:p w14:paraId="5BCAABB2" w14:textId="77777777" w:rsidR="00CB408E" w:rsidRPr="00E53E52" w:rsidRDefault="00CB408E" w:rsidP="0036367F">
      <w:pPr>
        <w:pStyle w:val="BodyText"/>
        <w:widowControl/>
        <w:spacing w:after="120"/>
        <w:ind w:firstLine="720"/>
        <w:rPr>
          <w:rFonts w:ascii="Century Schoolbook" w:hAnsi="Century Schoolbook"/>
        </w:rPr>
      </w:pPr>
      <w:bookmarkStart w:id="21" w:name="sp_999_9"/>
      <w:bookmarkStart w:id="22" w:name="SDU_9"/>
      <w:r w:rsidRPr="00E53E52">
        <w:rPr>
          <w:rFonts w:ascii="Century Schoolbook" w:hAnsi="Century Schoolbook"/>
        </w:rPr>
        <w:t xml:space="preserve">Societies use a variety of means to distinguish individuals based on race, religion, nationality, and political opinion. The distinctions may be </w:t>
      </w:r>
      <w:bookmarkStart w:id="23" w:name="sp_1650_236"/>
      <w:bookmarkStart w:id="24" w:name="SDU_236"/>
      <w:bookmarkEnd w:id="23"/>
      <w:bookmarkEnd w:id="24"/>
      <w:r w:rsidRPr="00E53E52">
        <w:rPr>
          <w:rFonts w:ascii="Century Schoolbook" w:hAnsi="Century Schoolbook"/>
        </w:rPr>
        <w:t>based on characteristics that are overt and visible to the naked eye or on those that are subtle and only discernible by people familiar with the particular culture. The characteristics are sometimes not literally visible. Some distinctions are based on beliefs and characteristics that are largely internal, such as religious or political beliefs. Individuals with certain religious or political beliefs may only be treated differently within society if their beliefs were made known or acted upon by the individual. The members of these factions generally understand their own affiliation with the grouping, and other people in the particular society understand that such a distinct group exists.</w:t>
      </w:r>
    </w:p>
    <w:p w14:paraId="0929B6BE" w14:textId="48B57D18"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 xml:space="preserve">Therefore these enumerated grounds of persecution have more in common than simply describing persecution aimed at an immutable characteristic. They have an external perception component within a given society, which need not involve literal or </w:t>
      </w:r>
      <w:r w:rsidR="00C909C4" w:rsidRPr="00E53E52">
        <w:rPr>
          <w:rFonts w:ascii="Century Schoolbook" w:hAnsi="Century Schoolbook"/>
        </w:rPr>
        <w:t>“</w:t>
      </w:r>
      <w:r w:rsidRPr="00E53E52">
        <w:rPr>
          <w:rFonts w:ascii="Century Schoolbook" w:hAnsi="Century Schoolbook"/>
        </w:rPr>
        <w:t>ocular</w:t>
      </w:r>
      <w:r w:rsidR="00C909C4" w:rsidRPr="00E53E52">
        <w:rPr>
          <w:rFonts w:ascii="Century Schoolbook" w:hAnsi="Century Schoolbook"/>
        </w:rPr>
        <w:t>”</w:t>
      </w:r>
      <w:r w:rsidRPr="00E53E52">
        <w:rPr>
          <w:rFonts w:ascii="Century Schoolbook" w:hAnsi="Century Schoolbook"/>
        </w:rPr>
        <w:t xml:space="preserve"> visibility. Considering the refugee context in which they arise, we find that the enumerated </w:t>
      </w:r>
      <w:r w:rsidRPr="00E53E52">
        <w:rPr>
          <w:rFonts w:ascii="Century Schoolbook" w:hAnsi="Century Schoolbook"/>
        </w:rPr>
        <w:lastRenderedPageBreak/>
        <w:t>grounds all describe persecution aimed at an immutable characteristic that separates various factions within a particular society.</w:t>
      </w:r>
    </w:p>
    <w:p w14:paraId="205439CB" w14:textId="77777777" w:rsidR="00CB408E" w:rsidRPr="00E53E52" w:rsidRDefault="00CB408E" w:rsidP="001D1D6E">
      <w:pPr>
        <w:spacing w:after="120"/>
        <w:jc w:val="center"/>
        <w:outlineLvl w:val="0"/>
        <w:rPr>
          <w:rFonts w:ascii="Century Schoolbook" w:hAnsi="Century Schoolbook"/>
        </w:rPr>
      </w:pPr>
      <w:r w:rsidRPr="00E53E52">
        <w:rPr>
          <w:rFonts w:ascii="Century Schoolbook" w:hAnsi="Century Schoolbook"/>
        </w:rPr>
        <w:t>B. Particular Social Group</w:t>
      </w:r>
    </w:p>
    <w:p w14:paraId="5A39DF03" w14:textId="0DE59115"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 xml:space="preserve">Given the suggestions [in federal court opinions] that further explanation of our interpretation of the phrase </w:t>
      </w:r>
      <w:r w:rsidR="00C909C4" w:rsidRPr="00E53E52">
        <w:rPr>
          <w:rFonts w:ascii="Century Schoolbook" w:hAnsi="Century Schoolbook"/>
        </w:rPr>
        <w:t>“</w:t>
      </w:r>
      <w:r w:rsidRPr="00E53E52">
        <w:rPr>
          <w:rFonts w:ascii="Century Schoolbook" w:hAnsi="Century Schoolbook"/>
        </w:rPr>
        <w:t>particular social group</w:t>
      </w:r>
      <w:r w:rsidR="00C909C4" w:rsidRPr="00E53E52">
        <w:rPr>
          <w:rFonts w:ascii="Century Schoolbook" w:hAnsi="Century Schoolbook"/>
        </w:rPr>
        <w:t>”</w:t>
      </w:r>
      <w:r w:rsidRPr="00E53E52">
        <w:rPr>
          <w:rFonts w:ascii="Century Schoolbook" w:hAnsi="Century Schoolbook"/>
        </w:rPr>
        <w:t xml:space="preserve"> is warranted, we now provide such clarification based on the analysis set forth above. </w:t>
      </w:r>
    </w:p>
    <w:p w14:paraId="792D4DC1" w14:textId="3052984B" w:rsidR="00CB408E" w:rsidRPr="00E53E52" w:rsidRDefault="00CB408E" w:rsidP="001D1D6E">
      <w:pPr>
        <w:pStyle w:val="BodyText"/>
        <w:widowControl/>
        <w:spacing w:after="120"/>
        <w:ind w:firstLine="432"/>
        <w:rPr>
          <w:rFonts w:ascii="Century Schoolbook" w:hAnsi="Century Schoolbook"/>
        </w:rPr>
      </w:pPr>
      <w:r w:rsidRPr="00E53E52">
        <w:rPr>
          <w:rFonts w:ascii="Century Schoolbook" w:hAnsi="Century Schoolbook"/>
        </w:rPr>
        <w:t xml:space="preserve">The primary source of disagreement with, or confusion about, our prior interpretation of the term </w:t>
      </w:r>
      <w:r w:rsidR="00C909C4" w:rsidRPr="00E53E52">
        <w:rPr>
          <w:rFonts w:ascii="Century Schoolbook" w:hAnsi="Century Schoolbook"/>
        </w:rPr>
        <w:t>“</w:t>
      </w:r>
      <w:r w:rsidRPr="00E53E52">
        <w:rPr>
          <w:rFonts w:ascii="Century Schoolbook" w:hAnsi="Century Schoolbook"/>
        </w:rPr>
        <w:t>particular social group</w:t>
      </w:r>
      <w:r w:rsidR="00C909C4" w:rsidRPr="00E53E52">
        <w:rPr>
          <w:rFonts w:ascii="Century Schoolbook" w:hAnsi="Century Schoolbook"/>
        </w:rPr>
        <w:t>”</w:t>
      </w:r>
      <w:r w:rsidRPr="00E53E52">
        <w:rPr>
          <w:rFonts w:ascii="Century Schoolbook" w:hAnsi="Century Schoolbook"/>
        </w:rPr>
        <w:t xml:space="preserve"> relates to the social visibility requirement. Contrary to our intent, the term </w:t>
      </w:r>
      <w:r w:rsidR="00C909C4" w:rsidRPr="00E53E52">
        <w:rPr>
          <w:rFonts w:ascii="Century Schoolbook" w:hAnsi="Century Schoolbook"/>
        </w:rPr>
        <w:t>“</w:t>
      </w:r>
      <w:r w:rsidRPr="00E53E52">
        <w:rPr>
          <w:rFonts w:ascii="Century Schoolbook" w:hAnsi="Century Schoolbook"/>
        </w:rPr>
        <w:t>social visibility</w:t>
      </w:r>
      <w:r w:rsidR="00C909C4" w:rsidRPr="00E53E52">
        <w:rPr>
          <w:rFonts w:ascii="Century Schoolbook" w:hAnsi="Century Schoolbook"/>
        </w:rPr>
        <w:t>”</w:t>
      </w:r>
      <w:r w:rsidRPr="00E53E52">
        <w:rPr>
          <w:rFonts w:ascii="Century Schoolbook" w:hAnsi="Century Schoolbook"/>
        </w:rPr>
        <w:t xml:space="preserve"> has led some to believe that literal, that is, </w:t>
      </w:r>
      <w:r w:rsidR="00C909C4" w:rsidRPr="00E53E52">
        <w:rPr>
          <w:rFonts w:ascii="Century Schoolbook" w:hAnsi="Century Schoolbook"/>
        </w:rPr>
        <w:t>“</w:t>
      </w:r>
      <w:r w:rsidRPr="00E53E52">
        <w:rPr>
          <w:rFonts w:ascii="Century Schoolbook" w:hAnsi="Century Schoolbook"/>
        </w:rPr>
        <w:t>ocular</w:t>
      </w:r>
      <w:r w:rsidR="00C909C4" w:rsidRPr="00E53E52">
        <w:rPr>
          <w:rFonts w:ascii="Century Schoolbook" w:hAnsi="Century Schoolbook"/>
        </w:rPr>
        <w:t>”</w:t>
      </w:r>
      <w:r w:rsidRPr="00E53E52">
        <w:rPr>
          <w:rFonts w:ascii="Century Schoolbook" w:hAnsi="Century Schoolbook"/>
        </w:rPr>
        <w:t xml:space="preserve"> or </w:t>
      </w:r>
      <w:r w:rsidR="00C909C4" w:rsidRPr="00E53E52">
        <w:rPr>
          <w:rFonts w:ascii="Century Schoolbook" w:hAnsi="Century Schoolbook"/>
        </w:rPr>
        <w:t>“</w:t>
      </w:r>
      <w:r w:rsidRPr="00E53E52">
        <w:rPr>
          <w:rFonts w:ascii="Century Schoolbook" w:hAnsi="Century Schoolbook"/>
        </w:rPr>
        <w:t>on-sight,</w:t>
      </w:r>
      <w:r w:rsidR="00C909C4" w:rsidRPr="00E53E52">
        <w:rPr>
          <w:rFonts w:ascii="Century Schoolbook" w:hAnsi="Century Schoolbook"/>
        </w:rPr>
        <w:t>”</w:t>
      </w:r>
      <w:r w:rsidRPr="00E53E52">
        <w:rPr>
          <w:rFonts w:ascii="Century Schoolbook" w:hAnsi="Century Schoolbook"/>
        </w:rPr>
        <w:t xml:space="preserve"> visibility is required to make a particular social group cognizable under the Act. Because of that misconception, we now rename the </w:t>
      </w:r>
      <w:r w:rsidR="00C909C4" w:rsidRPr="00E53E52">
        <w:rPr>
          <w:rFonts w:ascii="Century Schoolbook" w:hAnsi="Century Schoolbook"/>
        </w:rPr>
        <w:t>“</w:t>
      </w:r>
      <w:r w:rsidRPr="00E53E52">
        <w:rPr>
          <w:rFonts w:ascii="Century Schoolbook" w:hAnsi="Century Schoolbook"/>
        </w:rPr>
        <w:t>social visibility</w:t>
      </w:r>
      <w:r w:rsidR="00C909C4" w:rsidRPr="00E53E52">
        <w:rPr>
          <w:rFonts w:ascii="Century Schoolbook" w:hAnsi="Century Schoolbook"/>
        </w:rPr>
        <w:t>”</w:t>
      </w:r>
      <w:r w:rsidRPr="00E53E52">
        <w:rPr>
          <w:rFonts w:ascii="Century Schoolbook" w:hAnsi="Century Schoolbook"/>
        </w:rPr>
        <w:t xml:space="preserve"> requirement as </w:t>
      </w:r>
      <w:r w:rsidR="00C909C4" w:rsidRPr="00E53E52">
        <w:rPr>
          <w:rFonts w:ascii="Century Schoolbook" w:hAnsi="Century Schoolbook"/>
        </w:rPr>
        <w:t>“</w:t>
      </w:r>
      <w:r w:rsidRPr="00E53E52">
        <w:rPr>
          <w:rFonts w:ascii="Century Schoolbook" w:hAnsi="Century Schoolbook"/>
        </w:rPr>
        <w:t>social distinction.</w:t>
      </w:r>
      <w:r w:rsidR="00C909C4" w:rsidRPr="00E53E52">
        <w:rPr>
          <w:rFonts w:ascii="Century Schoolbook" w:hAnsi="Century Schoolbook"/>
        </w:rPr>
        <w:t>”</w:t>
      </w:r>
      <w:r w:rsidRPr="00E53E52">
        <w:rPr>
          <w:rFonts w:ascii="Century Schoolbook" w:hAnsi="Century Schoolbook"/>
        </w:rPr>
        <w:t xml:space="preserve"> This new name more accurately describes the function of the requirement.</w:t>
      </w:r>
    </w:p>
    <w:bookmarkEnd w:id="21"/>
    <w:bookmarkEnd w:id="22"/>
    <w:p w14:paraId="5A0CD2E2" w14:textId="0FD27BE7"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 xml:space="preserve">Thus, we clarify that an applicant for asylum or withholding of removal seeking relief based on </w:t>
      </w:r>
      <w:r w:rsidR="00C909C4" w:rsidRPr="00E53E52">
        <w:rPr>
          <w:rFonts w:ascii="Century Schoolbook" w:hAnsi="Century Schoolbook"/>
        </w:rPr>
        <w:t>“</w:t>
      </w:r>
      <w:r w:rsidRPr="00E53E52">
        <w:rPr>
          <w:rFonts w:ascii="Century Schoolbook" w:hAnsi="Century Schoolbook"/>
        </w:rPr>
        <w:t>membership in a particular social group</w:t>
      </w:r>
      <w:r w:rsidR="00C909C4" w:rsidRPr="00E53E52">
        <w:rPr>
          <w:rFonts w:ascii="Century Schoolbook" w:hAnsi="Century Schoolbook"/>
        </w:rPr>
        <w:t>”</w:t>
      </w:r>
      <w:r w:rsidRPr="00E53E52">
        <w:rPr>
          <w:rFonts w:ascii="Century Schoolbook" w:hAnsi="Century Schoolbook"/>
        </w:rPr>
        <w:t xml:space="preserve"> must establish that the group is</w:t>
      </w:r>
    </w:p>
    <w:p w14:paraId="390305FD" w14:textId="77777777" w:rsidR="00CB408E" w:rsidRPr="00E53E52" w:rsidRDefault="00CB408E" w:rsidP="0036367F">
      <w:pPr>
        <w:pStyle w:val="NoSpacing"/>
        <w:spacing w:after="120" w:line="276" w:lineRule="auto"/>
        <w:ind w:firstLine="720"/>
        <w:jc w:val="both"/>
        <w:rPr>
          <w:rFonts w:ascii="Century Schoolbook" w:hAnsi="Century Schoolbook"/>
          <w:sz w:val="22"/>
        </w:rPr>
      </w:pPr>
      <w:bookmarkStart w:id="25" w:name="sp_999_10"/>
      <w:bookmarkStart w:id="26" w:name="SDU_10"/>
      <w:r w:rsidRPr="00E53E52">
        <w:rPr>
          <w:rFonts w:ascii="Century Schoolbook" w:hAnsi="Century Schoolbook"/>
          <w:sz w:val="22"/>
        </w:rPr>
        <w:t>(1) composed of members who share a common immutable characteristic,</w:t>
      </w:r>
    </w:p>
    <w:p w14:paraId="4409853D" w14:textId="77777777" w:rsidR="00CB408E" w:rsidRPr="00E53E52" w:rsidRDefault="00CB408E" w:rsidP="0036367F">
      <w:pPr>
        <w:pStyle w:val="NoSpacing"/>
        <w:spacing w:after="120" w:line="276" w:lineRule="auto"/>
        <w:ind w:firstLine="720"/>
        <w:jc w:val="both"/>
        <w:rPr>
          <w:rFonts w:ascii="Century Schoolbook" w:hAnsi="Century Schoolbook"/>
          <w:sz w:val="22"/>
        </w:rPr>
      </w:pPr>
      <w:r w:rsidRPr="00E53E52">
        <w:rPr>
          <w:rFonts w:ascii="Century Schoolbook" w:hAnsi="Century Schoolbook"/>
          <w:sz w:val="22"/>
        </w:rPr>
        <w:t>(2) defined with particularity, and</w:t>
      </w:r>
    </w:p>
    <w:p w14:paraId="3C495631" w14:textId="77777777" w:rsidR="00CB408E" w:rsidRPr="00E53E52" w:rsidRDefault="00CB408E" w:rsidP="0036367F">
      <w:pPr>
        <w:pStyle w:val="NoSpacing"/>
        <w:spacing w:after="120" w:line="276" w:lineRule="auto"/>
        <w:ind w:firstLine="720"/>
        <w:jc w:val="both"/>
        <w:rPr>
          <w:rFonts w:ascii="Century Schoolbook" w:hAnsi="Century Schoolbook"/>
          <w:sz w:val="22"/>
        </w:rPr>
      </w:pPr>
      <w:r w:rsidRPr="00E53E52">
        <w:rPr>
          <w:rFonts w:ascii="Century Schoolbook" w:hAnsi="Century Schoolbook"/>
          <w:sz w:val="22"/>
        </w:rPr>
        <w:t>(3) socially distinct within the society in question.</w:t>
      </w:r>
    </w:p>
    <w:p w14:paraId="647C7841" w14:textId="77777777" w:rsidR="00CB408E" w:rsidRPr="00E53E52" w:rsidRDefault="00CB408E" w:rsidP="001D1D6E">
      <w:pPr>
        <w:spacing w:after="120"/>
        <w:jc w:val="center"/>
        <w:rPr>
          <w:rFonts w:ascii="Century Schoolbook" w:hAnsi="Century Schoolbook"/>
          <w:i/>
        </w:rPr>
      </w:pPr>
      <w:r w:rsidRPr="00E53E52">
        <w:rPr>
          <w:rFonts w:ascii="Century Schoolbook" w:hAnsi="Century Schoolbook"/>
          <w:i/>
        </w:rPr>
        <w:t>1. Overview of Criteria</w:t>
      </w:r>
    </w:p>
    <w:p w14:paraId="161E4961" w14:textId="77777777"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 xml:space="preserve">The criteria of particularity and social distinction are consistent with both the language of the Act and our earlier precedents. By defining these concepts in </w:t>
      </w:r>
      <w:r w:rsidRPr="00E53E52">
        <w:rPr>
          <w:rFonts w:ascii="Century Schoolbook" w:hAnsi="Century Schoolbook"/>
          <w:i/>
          <w:iCs/>
        </w:rPr>
        <w:t>Matter of C–A–</w:t>
      </w:r>
      <w:r w:rsidRPr="00E53E52">
        <w:rPr>
          <w:rFonts w:ascii="Century Schoolbook" w:hAnsi="Century Schoolbook"/>
        </w:rPr>
        <w:t xml:space="preserve"> and the cases that followed it, we did not depart from or abrogate the definition of a particular social group that was set forth in </w:t>
      </w:r>
      <w:r w:rsidRPr="00E53E52">
        <w:rPr>
          <w:rFonts w:ascii="Century Schoolbook" w:hAnsi="Century Schoolbook"/>
          <w:i/>
          <w:iCs/>
        </w:rPr>
        <w:t>Matter of Acosta</w:t>
      </w:r>
      <w:r w:rsidRPr="00E53E52">
        <w:rPr>
          <w:rFonts w:ascii="Century Schoolbook" w:hAnsi="Century Schoolbook"/>
        </w:rPr>
        <w:t xml:space="preserve">; nor did we adopt a new approach to defining particular social groups under the Act. </w:t>
      </w:r>
    </w:p>
    <w:p w14:paraId="22F1DA11" w14:textId="76C2DB07"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 xml:space="preserve">Our interpretation of the phrase </w:t>
      </w:r>
      <w:r w:rsidR="00C909C4" w:rsidRPr="00E53E52">
        <w:rPr>
          <w:rFonts w:ascii="Century Schoolbook" w:hAnsi="Century Schoolbook"/>
        </w:rPr>
        <w:t>“</w:t>
      </w:r>
      <w:r w:rsidRPr="00E53E52">
        <w:rPr>
          <w:rFonts w:ascii="Century Schoolbook" w:hAnsi="Century Schoolbook"/>
        </w:rPr>
        <w:t>membership in a particular social group</w:t>
      </w:r>
      <w:r w:rsidR="00C909C4" w:rsidRPr="00E53E52">
        <w:rPr>
          <w:rFonts w:ascii="Century Schoolbook" w:hAnsi="Century Schoolbook"/>
        </w:rPr>
        <w:t>”</w:t>
      </w:r>
      <w:r w:rsidRPr="00E53E52">
        <w:rPr>
          <w:rFonts w:ascii="Century Schoolbook" w:hAnsi="Century Schoolbook"/>
        </w:rPr>
        <w:t xml:space="preserve"> incorporates the common immutable characteristic standard set forth in </w:t>
      </w:r>
      <w:r w:rsidRPr="00E53E52">
        <w:rPr>
          <w:rFonts w:ascii="Century Schoolbook" w:hAnsi="Century Schoolbook"/>
          <w:i/>
          <w:iCs/>
        </w:rPr>
        <w:t>Matter of Acosta</w:t>
      </w:r>
      <w:r w:rsidRPr="00E53E52">
        <w:rPr>
          <w:rFonts w:ascii="Century Schoolbook" w:hAnsi="Century Schoolbook"/>
        </w:rPr>
        <w:t>[.] * * *</w:t>
      </w:r>
    </w:p>
    <w:bookmarkEnd w:id="25"/>
    <w:bookmarkEnd w:id="26"/>
    <w:p w14:paraId="3347911F" w14:textId="5BD56328"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 xml:space="preserve">The </w:t>
      </w:r>
      <w:r w:rsidR="00C909C4" w:rsidRPr="00E53E52">
        <w:rPr>
          <w:rFonts w:ascii="Century Schoolbook" w:hAnsi="Century Schoolbook"/>
        </w:rPr>
        <w:t>“</w:t>
      </w:r>
      <w:r w:rsidRPr="00E53E52">
        <w:rPr>
          <w:rFonts w:ascii="Century Schoolbook" w:hAnsi="Century Schoolbook"/>
        </w:rPr>
        <w:t>particularity</w:t>
      </w:r>
      <w:r w:rsidR="00C909C4" w:rsidRPr="00E53E52">
        <w:rPr>
          <w:rFonts w:ascii="Century Schoolbook" w:hAnsi="Century Schoolbook"/>
        </w:rPr>
        <w:t>”</w:t>
      </w:r>
      <w:r w:rsidRPr="00E53E52">
        <w:rPr>
          <w:rFonts w:ascii="Century Schoolbook" w:hAnsi="Century Schoolbook"/>
        </w:rPr>
        <w:t xml:space="preserve"> requirement relates to the group</w:t>
      </w:r>
      <w:r w:rsidR="00C909C4" w:rsidRPr="00E53E52">
        <w:rPr>
          <w:rFonts w:ascii="Century Schoolbook" w:hAnsi="Century Schoolbook"/>
        </w:rPr>
        <w:t>’</w:t>
      </w:r>
      <w:r w:rsidRPr="00E53E52">
        <w:rPr>
          <w:rFonts w:ascii="Century Schoolbook" w:hAnsi="Century Schoolbook"/>
        </w:rPr>
        <w:t xml:space="preserve">s boundaries or, as earlier court decisions described it, the need to put </w:t>
      </w:r>
      <w:r w:rsidR="00C909C4" w:rsidRPr="00E53E52">
        <w:rPr>
          <w:rFonts w:ascii="Century Schoolbook" w:hAnsi="Century Schoolbook"/>
        </w:rPr>
        <w:t>“</w:t>
      </w:r>
      <w:r w:rsidRPr="00E53E52">
        <w:rPr>
          <w:rFonts w:ascii="Century Schoolbook" w:hAnsi="Century Schoolbook"/>
        </w:rPr>
        <w:t>outer limits</w:t>
      </w:r>
      <w:r w:rsidR="00C909C4" w:rsidRPr="00E53E52">
        <w:rPr>
          <w:rFonts w:ascii="Century Schoolbook" w:hAnsi="Century Schoolbook"/>
        </w:rPr>
        <w:t>”</w:t>
      </w:r>
      <w:r w:rsidRPr="00E53E52">
        <w:rPr>
          <w:rFonts w:ascii="Century Schoolbook" w:hAnsi="Century Schoolbook"/>
        </w:rPr>
        <w:t xml:space="preserve"> on the definition of a </w:t>
      </w:r>
      <w:r w:rsidR="00C909C4" w:rsidRPr="00E53E52">
        <w:rPr>
          <w:rFonts w:ascii="Century Schoolbook" w:hAnsi="Century Schoolbook"/>
        </w:rPr>
        <w:t>“</w:t>
      </w:r>
      <w:r w:rsidRPr="00E53E52">
        <w:rPr>
          <w:rFonts w:ascii="Century Schoolbook" w:hAnsi="Century Schoolbook"/>
        </w:rPr>
        <w:t>particular social group.</w:t>
      </w:r>
      <w:r w:rsidR="00C909C4" w:rsidRPr="00E53E52">
        <w:rPr>
          <w:rFonts w:ascii="Century Schoolbook" w:hAnsi="Century Schoolbook"/>
        </w:rPr>
        <w:t>”</w:t>
      </w:r>
      <w:r w:rsidRPr="00E53E52">
        <w:rPr>
          <w:rFonts w:ascii="Century Schoolbook" w:hAnsi="Century Schoolbook"/>
        </w:rPr>
        <w:t xml:space="preserve"> </w:t>
      </w:r>
      <w:r w:rsidRPr="00E53E52">
        <w:rPr>
          <w:rFonts w:ascii="Century Schoolbook" w:hAnsi="Century Schoolbook"/>
          <w:i/>
          <w:iCs/>
        </w:rPr>
        <w:t>See Castellano-Chacon v. INS</w:t>
      </w:r>
      <w:r w:rsidRPr="00E53E52">
        <w:rPr>
          <w:rFonts w:ascii="Century Schoolbook" w:hAnsi="Century Schoolbook"/>
        </w:rPr>
        <w:t xml:space="preserve">, 341 F.3d 533, 549 (6th Cir. 2003); </w:t>
      </w:r>
      <w:r w:rsidRPr="00E53E52">
        <w:rPr>
          <w:rFonts w:ascii="Century Schoolbook" w:hAnsi="Century Schoolbook"/>
          <w:i/>
          <w:iCs/>
        </w:rPr>
        <w:t>Sanchez-Trujillo v. INS</w:t>
      </w:r>
      <w:r w:rsidRPr="00E53E52">
        <w:rPr>
          <w:rFonts w:ascii="Century Schoolbook" w:hAnsi="Century Schoolbook"/>
        </w:rPr>
        <w:t xml:space="preserve">, 801 F.2d at 1576. The particular social group analysis does not occur in isolation, but rather in the context of the society out of which the claim for asylum arises. Thus, the </w:t>
      </w:r>
      <w:r w:rsidR="00C909C4" w:rsidRPr="00E53E52">
        <w:rPr>
          <w:rFonts w:ascii="Century Schoolbook" w:hAnsi="Century Schoolbook"/>
        </w:rPr>
        <w:t>“</w:t>
      </w:r>
      <w:r w:rsidRPr="00E53E52">
        <w:rPr>
          <w:rFonts w:ascii="Century Schoolbook" w:hAnsi="Century Schoolbook"/>
        </w:rPr>
        <w:t>social distinction</w:t>
      </w:r>
      <w:r w:rsidR="00C909C4" w:rsidRPr="00E53E52">
        <w:rPr>
          <w:rFonts w:ascii="Century Schoolbook" w:hAnsi="Century Schoolbook"/>
        </w:rPr>
        <w:t>”</w:t>
      </w:r>
      <w:r w:rsidRPr="00E53E52">
        <w:rPr>
          <w:rFonts w:ascii="Century Schoolbook" w:hAnsi="Century Schoolbook"/>
        </w:rPr>
        <w:t xml:space="preserve"> requirement considers whether those with a common immutable characteristic are set apart, or distinct, from other persons within the society in some significant way. In other words, if the common immutable characteristic were known, those with the characteristic in the society in question would be meaningfully distinguished from those who do not have it. A viable particular social group should be perceived within the given society as a sufficiently distinct group. The members of a particular social group will generally </w:t>
      </w:r>
      <w:r w:rsidRPr="00E53E52">
        <w:rPr>
          <w:rFonts w:ascii="Century Schoolbook" w:hAnsi="Century Schoolbook"/>
        </w:rPr>
        <w:lastRenderedPageBreak/>
        <w:t>understand their own affiliation with the grouping, as will other people in the particular society.</w:t>
      </w:r>
      <w:r w:rsidRPr="00E53E52">
        <w:rPr>
          <w:rStyle w:val="FootnoteReference"/>
          <w:rFonts w:ascii="Century Schoolbook" w:hAnsi="Century Schoolbook"/>
        </w:rPr>
        <w:footnoteReference w:customMarkFollows="1" w:id="3"/>
        <w:t>12</w:t>
      </w:r>
      <w:r w:rsidRPr="00E53E52">
        <w:rPr>
          <w:rFonts w:ascii="Century Schoolbook" w:hAnsi="Century Schoolbook"/>
        </w:rPr>
        <w:t xml:space="preserve"> </w:t>
      </w:r>
      <w:bookmarkStart w:id="27" w:name="FN[FN12]"/>
      <w:bookmarkStart w:id="28" w:name="sp_999_11"/>
      <w:bookmarkStart w:id="29" w:name="SDU_11"/>
      <w:bookmarkEnd w:id="27"/>
    </w:p>
    <w:p w14:paraId="5B972F06" w14:textId="77777777"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 * * Our precedents have collectively focused on the extent to which the group is understood to exist as a recognized component of the society in question.</w:t>
      </w:r>
    </w:p>
    <w:p w14:paraId="51F3CE13" w14:textId="501FEB71" w:rsidR="00CB408E" w:rsidRPr="00E53E52" w:rsidRDefault="00CB408E" w:rsidP="001D1D6E">
      <w:pPr>
        <w:spacing w:after="120"/>
        <w:jc w:val="center"/>
        <w:outlineLvl w:val="0"/>
        <w:rPr>
          <w:rFonts w:ascii="Century Schoolbook" w:hAnsi="Century Schoolbook"/>
          <w:i/>
        </w:rPr>
      </w:pPr>
      <w:r w:rsidRPr="00E53E52">
        <w:rPr>
          <w:rFonts w:ascii="Century Schoolbook" w:hAnsi="Century Schoolbook"/>
          <w:i/>
        </w:rPr>
        <w:t xml:space="preserve">2. </w:t>
      </w:r>
      <w:r w:rsidR="00C909C4" w:rsidRPr="00E53E52">
        <w:rPr>
          <w:rFonts w:ascii="Century Schoolbook" w:hAnsi="Century Schoolbook"/>
          <w:i/>
        </w:rPr>
        <w:t>“</w:t>
      </w:r>
      <w:r w:rsidRPr="00E53E52">
        <w:rPr>
          <w:rFonts w:ascii="Century Schoolbook" w:hAnsi="Century Schoolbook"/>
          <w:i/>
        </w:rPr>
        <w:t>Particularity</w:t>
      </w:r>
      <w:r w:rsidR="00C909C4" w:rsidRPr="00E53E52">
        <w:rPr>
          <w:rFonts w:ascii="Century Schoolbook" w:hAnsi="Century Schoolbook"/>
          <w:i/>
        </w:rPr>
        <w:t>”</w:t>
      </w:r>
    </w:p>
    <w:bookmarkEnd w:id="28"/>
    <w:bookmarkEnd w:id="29"/>
    <w:p w14:paraId="11358107" w14:textId="79632843"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 xml:space="preserve">While we addressed the immutability requirement in </w:t>
      </w:r>
      <w:r w:rsidRPr="00E53E52">
        <w:rPr>
          <w:rFonts w:ascii="Century Schoolbook" w:hAnsi="Century Schoolbook"/>
          <w:i/>
          <w:iCs/>
        </w:rPr>
        <w:t>Acosta</w:t>
      </w:r>
      <w:r w:rsidRPr="00E53E52">
        <w:rPr>
          <w:rFonts w:ascii="Century Schoolbook" w:hAnsi="Century Schoolbook"/>
        </w:rPr>
        <w:t xml:space="preserve">, the term </w:t>
      </w:r>
      <w:r w:rsidR="00C909C4" w:rsidRPr="00E53E52">
        <w:rPr>
          <w:rFonts w:ascii="Century Schoolbook" w:hAnsi="Century Schoolbook"/>
        </w:rPr>
        <w:t>“</w:t>
      </w:r>
      <w:r w:rsidRPr="00E53E52">
        <w:rPr>
          <w:rFonts w:ascii="Century Schoolbook" w:hAnsi="Century Schoolbook"/>
        </w:rPr>
        <w:t>particularity</w:t>
      </w:r>
      <w:r w:rsidR="00C909C4" w:rsidRPr="00E53E52">
        <w:rPr>
          <w:rFonts w:ascii="Century Schoolbook" w:hAnsi="Century Schoolbook"/>
        </w:rPr>
        <w:t>”</w:t>
      </w:r>
      <w:r w:rsidRPr="00E53E52">
        <w:rPr>
          <w:rFonts w:ascii="Century Schoolbook" w:hAnsi="Century Schoolbook"/>
        </w:rPr>
        <w:t xml:space="preserve"> is included in the plain language of the Act and is consistent with the specificity by which race, religion, nationality, and political opinion are commonly defined.</w:t>
      </w:r>
      <w:r w:rsidRPr="00E53E52">
        <w:rPr>
          <w:rStyle w:val="FootnoteReference"/>
          <w:rFonts w:ascii="Century Schoolbook" w:hAnsi="Century Schoolbook"/>
        </w:rPr>
        <w:footnoteReference w:customMarkFollows="1" w:id="4"/>
        <w:t>13</w:t>
      </w:r>
      <w:bookmarkStart w:id="30" w:name="FN[FN13]"/>
      <w:bookmarkStart w:id="31" w:name="FN_B13"/>
      <w:bookmarkEnd w:id="30"/>
      <w:bookmarkEnd w:id="31"/>
      <w:r w:rsidRPr="00E53E52">
        <w:rPr>
          <w:rFonts w:ascii="Century Schoolbook" w:hAnsi="Century Schoolbook"/>
        </w:rPr>
        <w:t xml:space="preserve"> The Tenth Circuit recently noted that </w:t>
      </w:r>
      <w:r w:rsidR="00C909C4" w:rsidRPr="00E53E52">
        <w:rPr>
          <w:rFonts w:ascii="Century Schoolbook" w:hAnsi="Century Schoolbook"/>
        </w:rPr>
        <w:t>“</w:t>
      </w:r>
      <w:r w:rsidRPr="00E53E52">
        <w:rPr>
          <w:rFonts w:ascii="Century Schoolbook" w:hAnsi="Century Schoolbook"/>
        </w:rPr>
        <w:t xml:space="preserve">the particularity requirement flows quite naturally from the language of the statute, which, of course, specifically refers to membership in a </w:t>
      </w:r>
      <w:r w:rsidR="00C909C4" w:rsidRPr="00E53E52">
        <w:rPr>
          <w:rFonts w:ascii="Century Schoolbook" w:hAnsi="Century Schoolbook"/>
        </w:rPr>
        <w:t>‘</w:t>
      </w:r>
      <w:r w:rsidRPr="00E53E52">
        <w:rPr>
          <w:rFonts w:ascii="Century Schoolbook" w:hAnsi="Century Schoolbook"/>
          <w:i/>
          <w:iCs/>
        </w:rPr>
        <w:t>particular</w:t>
      </w:r>
      <w:r w:rsidRPr="00E53E52">
        <w:rPr>
          <w:rFonts w:ascii="Century Schoolbook" w:hAnsi="Century Schoolbook"/>
        </w:rPr>
        <w:t xml:space="preserve"> social group.</w:t>
      </w:r>
      <w:r w:rsidR="00C909C4" w:rsidRPr="00E53E52">
        <w:rPr>
          <w:rFonts w:ascii="Century Schoolbook" w:hAnsi="Century Schoolbook"/>
        </w:rPr>
        <w:t>’”</w:t>
      </w:r>
      <w:r w:rsidRPr="00E53E52">
        <w:rPr>
          <w:rFonts w:ascii="Century Schoolbook" w:hAnsi="Century Schoolbook"/>
        </w:rPr>
        <w:t xml:space="preserve"> </w:t>
      </w:r>
    </w:p>
    <w:p w14:paraId="4CA3A004" w14:textId="77777777" w:rsidR="00CB408E" w:rsidRPr="00E53E52" w:rsidRDefault="00CB408E" w:rsidP="0036367F">
      <w:pPr>
        <w:pStyle w:val="BodyText"/>
        <w:widowControl/>
        <w:spacing w:after="120"/>
        <w:ind w:firstLine="720"/>
        <w:rPr>
          <w:rFonts w:ascii="Century Schoolbook" w:hAnsi="Century Schoolbook"/>
        </w:rPr>
      </w:pPr>
      <w:bookmarkStart w:id="32" w:name="sp_999_12"/>
      <w:bookmarkStart w:id="33" w:name="SDU_12"/>
      <w:r w:rsidRPr="00E53E52">
        <w:rPr>
          <w:rFonts w:ascii="Century Schoolbook" w:hAnsi="Century Schoolbook"/>
        </w:rPr>
        <w:t xml:space="preserve">A particular social group must be defined by characteristics that provide a clear benchmark for determining who falls within the group. </w:t>
      </w:r>
      <w:r w:rsidRPr="00E53E52">
        <w:rPr>
          <w:rFonts w:ascii="Century Schoolbook" w:hAnsi="Century Schoolbook"/>
          <w:i/>
          <w:iCs/>
        </w:rPr>
        <w:t>Matter of A–M–E– &amp; J–G–U–</w:t>
      </w:r>
      <w:r w:rsidRPr="00E53E52">
        <w:rPr>
          <w:rFonts w:ascii="Century Schoolbook" w:hAnsi="Century Schoolbook"/>
        </w:rPr>
        <w:t xml:space="preserve">, 24 I&amp;N Dec. at 76 (holding that wealthy Guatemalans lack the requisite particularity to be a particular social group). It is critical that the terms used to describe the group have commonly accepted definitions in the society of which the group is a part. </w:t>
      </w:r>
      <w:r w:rsidRPr="00E53E52">
        <w:rPr>
          <w:rFonts w:ascii="Century Schoolbook" w:hAnsi="Century Schoolbook"/>
          <w:i/>
          <w:iCs/>
        </w:rPr>
        <w:t>Id</w:t>
      </w:r>
      <w:r w:rsidRPr="00E53E52">
        <w:rPr>
          <w:rFonts w:ascii="Century Schoolbook" w:hAnsi="Century Schoolbook"/>
        </w:rPr>
        <w:t>. (observing that the concept of wealth is too subjective to provide an adequate benchmark for defining a particular social group).</w:t>
      </w:r>
    </w:p>
    <w:p w14:paraId="3C3E9551" w14:textId="50B8CF04"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 xml:space="preserve">The group must also be discrete and have definable boundaries – it must not be amorphous, overbroad, diffuse, or subjective. The particularity requirement clarifies the point, at least implicit in earlier case law, that not every </w:t>
      </w:r>
      <w:r w:rsidR="00C909C4" w:rsidRPr="00E53E52">
        <w:rPr>
          <w:rFonts w:ascii="Century Schoolbook" w:hAnsi="Century Schoolbook"/>
        </w:rPr>
        <w:t>“</w:t>
      </w:r>
      <w:r w:rsidRPr="00E53E52">
        <w:rPr>
          <w:rFonts w:ascii="Century Schoolbook" w:hAnsi="Century Schoolbook"/>
        </w:rPr>
        <w:t>immutable characteristic</w:t>
      </w:r>
      <w:r w:rsidR="00C909C4" w:rsidRPr="00E53E52">
        <w:rPr>
          <w:rFonts w:ascii="Century Schoolbook" w:hAnsi="Century Schoolbook"/>
        </w:rPr>
        <w:t>”</w:t>
      </w:r>
      <w:r w:rsidRPr="00E53E52">
        <w:rPr>
          <w:rFonts w:ascii="Century Schoolbook" w:hAnsi="Century Schoolbook"/>
        </w:rPr>
        <w:t xml:space="preserve"> is sufficiently precise to define a particular social group. </w:t>
      </w:r>
      <w:r w:rsidRPr="00E53E52">
        <w:rPr>
          <w:rFonts w:ascii="Century Schoolbook" w:hAnsi="Century Schoolbook"/>
          <w:i/>
          <w:iCs/>
        </w:rPr>
        <w:t>See, e.g., Escobar v. Gonzales</w:t>
      </w:r>
      <w:r w:rsidRPr="00E53E52">
        <w:rPr>
          <w:rFonts w:ascii="Century Schoolbook" w:hAnsi="Century Schoolbook"/>
        </w:rPr>
        <w:t xml:space="preserve">, 417 F.3d 363, 368 (3d Cir. 2005) (finding the characteristics of poverty, </w:t>
      </w:r>
      <w:bookmarkStart w:id="34" w:name="sp_1650_240"/>
      <w:bookmarkStart w:id="35" w:name="SDU_240"/>
      <w:bookmarkEnd w:id="34"/>
      <w:bookmarkEnd w:id="35"/>
      <w:r w:rsidRPr="00E53E52">
        <w:rPr>
          <w:rFonts w:ascii="Century Schoolbook" w:hAnsi="Century Schoolbook"/>
        </w:rPr>
        <w:t xml:space="preserve">homelessness, and youth to be </w:t>
      </w:r>
      <w:r w:rsidR="00C909C4" w:rsidRPr="00E53E52">
        <w:rPr>
          <w:rFonts w:ascii="Century Schoolbook" w:hAnsi="Century Schoolbook"/>
        </w:rPr>
        <w:t>“</w:t>
      </w:r>
      <w:r w:rsidRPr="00E53E52">
        <w:rPr>
          <w:rFonts w:ascii="Century Schoolbook" w:hAnsi="Century Schoolbook"/>
        </w:rPr>
        <w:t>too vague and all encompassing</w:t>
      </w:r>
      <w:r w:rsidR="00C909C4" w:rsidRPr="00E53E52">
        <w:rPr>
          <w:rFonts w:ascii="Century Schoolbook" w:hAnsi="Century Schoolbook"/>
        </w:rPr>
        <w:t>”</w:t>
      </w:r>
      <w:r w:rsidRPr="00E53E52">
        <w:rPr>
          <w:rFonts w:ascii="Century Schoolbook" w:hAnsi="Century Schoolbook"/>
        </w:rPr>
        <w:t xml:space="preserve"> to set perimeters for a protected group within the scope of the Act).</w:t>
      </w:r>
    </w:p>
    <w:p w14:paraId="47F3126D" w14:textId="2047F449" w:rsidR="00CB408E" w:rsidRPr="00E53E52" w:rsidRDefault="00CB408E" w:rsidP="001D1D6E">
      <w:pPr>
        <w:spacing w:after="120"/>
        <w:jc w:val="center"/>
        <w:outlineLvl w:val="0"/>
        <w:rPr>
          <w:rFonts w:ascii="Century Schoolbook" w:hAnsi="Century Schoolbook"/>
          <w:i/>
        </w:rPr>
      </w:pPr>
      <w:r w:rsidRPr="00E53E52">
        <w:rPr>
          <w:rFonts w:ascii="Century Schoolbook" w:hAnsi="Century Schoolbook"/>
          <w:i/>
        </w:rPr>
        <w:t xml:space="preserve">3. </w:t>
      </w:r>
      <w:r w:rsidR="00C909C4" w:rsidRPr="00E53E52">
        <w:rPr>
          <w:rFonts w:ascii="Century Schoolbook" w:hAnsi="Century Schoolbook"/>
          <w:i/>
        </w:rPr>
        <w:t>“</w:t>
      </w:r>
      <w:r w:rsidRPr="00E53E52">
        <w:rPr>
          <w:rFonts w:ascii="Century Schoolbook" w:hAnsi="Century Schoolbook"/>
          <w:i/>
        </w:rPr>
        <w:t>Social Distinction</w:t>
      </w:r>
      <w:r w:rsidR="00C909C4" w:rsidRPr="00E53E52">
        <w:rPr>
          <w:rFonts w:ascii="Century Schoolbook" w:hAnsi="Century Schoolbook"/>
          <w:i/>
        </w:rPr>
        <w:t>”</w:t>
      </w:r>
    </w:p>
    <w:bookmarkEnd w:id="32"/>
    <w:bookmarkEnd w:id="33"/>
    <w:p w14:paraId="5316BCCF" w14:textId="6F0BCA55"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 xml:space="preserve">Our definition of </w:t>
      </w:r>
      <w:r w:rsidR="00C909C4" w:rsidRPr="00E53E52">
        <w:rPr>
          <w:rFonts w:ascii="Century Schoolbook" w:hAnsi="Century Schoolbook"/>
        </w:rPr>
        <w:t>“</w:t>
      </w:r>
      <w:r w:rsidRPr="00E53E52">
        <w:rPr>
          <w:rFonts w:ascii="Century Schoolbook" w:hAnsi="Century Schoolbook"/>
        </w:rPr>
        <w:t>social visibility</w:t>
      </w:r>
      <w:r w:rsidR="00C909C4" w:rsidRPr="00E53E52">
        <w:rPr>
          <w:rFonts w:ascii="Century Schoolbook" w:hAnsi="Century Schoolbook"/>
        </w:rPr>
        <w:t>”</w:t>
      </w:r>
      <w:r w:rsidRPr="00E53E52">
        <w:rPr>
          <w:rFonts w:ascii="Century Schoolbook" w:hAnsi="Century Schoolbook"/>
        </w:rPr>
        <w:t xml:space="preserve"> has emphasized the importance of </w:t>
      </w:r>
      <w:r w:rsidR="00C909C4" w:rsidRPr="00E53E52">
        <w:rPr>
          <w:rFonts w:ascii="Century Schoolbook" w:hAnsi="Century Schoolbook"/>
        </w:rPr>
        <w:t>“</w:t>
      </w:r>
      <w:r w:rsidRPr="00E53E52">
        <w:rPr>
          <w:rFonts w:ascii="Century Schoolbook" w:hAnsi="Century Schoolbook"/>
        </w:rPr>
        <w:t>perception</w:t>
      </w:r>
      <w:r w:rsidR="00C909C4" w:rsidRPr="00E53E52">
        <w:rPr>
          <w:rFonts w:ascii="Century Schoolbook" w:hAnsi="Century Schoolbook"/>
        </w:rPr>
        <w:t>”</w:t>
      </w:r>
      <w:r w:rsidRPr="00E53E52">
        <w:rPr>
          <w:rFonts w:ascii="Century Schoolbook" w:hAnsi="Century Schoolbook"/>
        </w:rPr>
        <w:t xml:space="preserve"> or </w:t>
      </w:r>
      <w:r w:rsidR="00C909C4" w:rsidRPr="00E53E52">
        <w:rPr>
          <w:rFonts w:ascii="Century Schoolbook" w:hAnsi="Century Schoolbook"/>
        </w:rPr>
        <w:t>“</w:t>
      </w:r>
      <w:r w:rsidRPr="00E53E52">
        <w:rPr>
          <w:rFonts w:ascii="Century Schoolbook" w:hAnsi="Century Schoolbook"/>
        </w:rPr>
        <w:t>recognition</w:t>
      </w:r>
      <w:r w:rsidR="00C909C4" w:rsidRPr="00E53E52">
        <w:rPr>
          <w:rFonts w:ascii="Century Schoolbook" w:hAnsi="Century Schoolbook"/>
        </w:rPr>
        <w:t>”</w:t>
      </w:r>
      <w:r w:rsidRPr="00E53E52">
        <w:rPr>
          <w:rFonts w:ascii="Century Schoolbook" w:hAnsi="Century Schoolbook"/>
        </w:rPr>
        <w:t xml:space="preserve"> in the concept of </w:t>
      </w:r>
      <w:r w:rsidR="00C909C4" w:rsidRPr="00E53E52">
        <w:rPr>
          <w:rFonts w:ascii="Century Schoolbook" w:hAnsi="Century Schoolbook"/>
        </w:rPr>
        <w:t>“</w:t>
      </w:r>
      <w:r w:rsidRPr="00E53E52">
        <w:rPr>
          <w:rFonts w:ascii="Century Schoolbook" w:hAnsi="Century Schoolbook"/>
        </w:rPr>
        <w:t>particular social group.</w:t>
      </w:r>
      <w:r w:rsidR="00C909C4" w:rsidRPr="00E53E52">
        <w:rPr>
          <w:rFonts w:ascii="Century Schoolbook" w:hAnsi="Century Schoolbook"/>
        </w:rPr>
        <w:t>”</w:t>
      </w:r>
      <w:r w:rsidRPr="00E53E52">
        <w:rPr>
          <w:rFonts w:ascii="Century Schoolbook" w:hAnsi="Century Schoolbook"/>
        </w:rPr>
        <w:t xml:space="preserve"> </w:t>
      </w:r>
      <w:r w:rsidRPr="00E53E52">
        <w:rPr>
          <w:rFonts w:ascii="Century Schoolbook" w:hAnsi="Century Schoolbook"/>
          <w:i/>
          <w:iCs/>
        </w:rPr>
        <w:t>See Matter of H–</w:t>
      </w:r>
      <w:r w:rsidRPr="00E53E52">
        <w:rPr>
          <w:rFonts w:ascii="Century Schoolbook" w:hAnsi="Century Schoolbook"/>
        </w:rPr>
        <w:t xml:space="preserve">, 21 I&amp;N Dec. 337, 342 (BIA 1996) (in Somali society, clan membership is a </w:t>
      </w:r>
      <w:r w:rsidR="00C909C4" w:rsidRPr="00E53E52">
        <w:rPr>
          <w:rFonts w:ascii="Century Schoolbook" w:hAnsi="Century Schoolbook"/>
        </w:rPr>
        <w:t>“</w:t>
      </w:r>
      <w:r w:rsidRPr="00E53E52">
        <w:rPr>
          <w:rFonts w:ascii="Century Schoolbook" w:hAnsi="Century Schoolbook"/>
        </w:rPr>
        <w:t>highly recognizable</w:t>
      </w:r>
      <w:r w:rsidR="00C909C4" w:rsidRPr="00E53E52">
        <w:rPr>
          <w:rFonts w:ascii="Century Schoolbook" w:hAnsi="Century Schoolbook"/>
        </w:rPr>
        <w:t>”</w:t>
      </w:r>
      <w:r w:rsidRPr="00E53E52">
        <w:rPr>
          <w:rFonts w:ascii="Century Schoolbook" w:hAnsi="Century Schoolbook"/>
        </w:rPr>
        <w:t xml:space="preserve"> characteristic that is </w:t>
      </w:r>
      <w:r w:rsidR="00C909C4" w:rsidRPr="00E53E52">
        <w:rPr>
          <w:rFonts w:ascii="Century Schoolbook" w:hAnsi="Century Schoolbook"/>
        </w:rPr>
        <w:t>“</w:t>
      </w:r>
      <w:r w:rsidRPr="00E53E52">
        <w:rPr>
          <w:rFonts w:ascii="Century Schoolbook" w:hAnsi="Century Schoolbook"/>
        </w:rPr>
        <w:t>inextricably linked to family ties</w:t>
      </w:r>
      <w:r w:rsidR="00C909C4" w:rsidRPr="00E53E52">
        <w:rPr>
          <w:rFonts w:ascii="Century Schoolbook" w:hAnsi="Century Schoolbook"/>
        </w:rPr>
        <w:t>”</w:t>
      </w:r>
      <w:r w:rsidRPr="00E53E52">
        <w:rPr>
          <w:rFonts w:ascii="Century Schoolbook" w:hAnsi="Century Schoolbook"/>
        </w:rPr>
        <w:t xml:space="preserve">). The term was never meant to be read literally. The renamed requirement </w:t>
      </w:r>
      <w:r w:rsidR="00C909C4" w:rsidRPr="00E53E52">
        <w:rPr>
          <w:rFonts w:ascii="Century Schoolbook" w:hAnsi="Century Schoolbook"/>
        </w:rPr>
        <w:t>“</w:t>
      </w:r>
      <w:r w:rsidRPr="00E53E52">
        <w:rPr>
          <w:rFonts w:ascii="Century Schoolbook" w:hAnsi="Century Schoolbook"/>
        </w:rPr>
        <w:t>social distinction</w:t>
      </w:r>
      <w:r w:rsidR="00C909C4" w:rsidRPr="00E53E52">
        <w:rPr>
          <w:rFonts w:ascii="Century Schoolbook" w:hAnsi="Century Schoolbook"/>
        </w:rPr>
        <w:t>”</w:t>
      </w:r>
      <w:r w:rsidRPr="00E53E52">
        <w:rPr>
          <w:rFonts w:ascii="Century Schoolbook" w:hAnsi="Century Schoolbook"/>
        </w:rPr>
        <w:t xml:space="preserve"> clarifies that social visibility does not mean </w:t>
      </w:r>
      <w:r w:rsidR="00C909C4" w:rsidRPr="00E53E52">
        <w:rPr>
          <w:rFonts w:ascii="Century Schoolbook" w:hAnsi="Century Schoolbook"/>
        </w:rPr>
        <w:t>“</w:t>
      </w:r>
      <w:r w:rsidRPr="00E53E52">
        <w:rPr>
          <w:rFonts w:ascii="Century Schoolbook" w:hAnsi="Century Schoolbook"/>
        </w:rPr>
        <w:t>ocular</w:t>
      </w:r>
      <w:r w:rsidR="00C909C4" w:rsidRPr="00E53E52">
        <w:rPr>
          <w:rFonts w:ascii="Century Schoolbook" w:hAnsi="Century Schoolbook"/>
        </w:rPr>
        <w:t>”</w:t>
      </w:r>
      <w:r w:rsidRPr="00E53E52">
        <w:rPr>
          <w:rFonts w:ascii="Century Schoolbook" w:hAnsi="Century Schoolbook"/>
        </w:rPr>
        <w:t xml:space="preserve"> visibility – either of the group as a whole or of individuals within the group – any </w:t>
      </w:r>
      <w:r w:rsidRPr="00E53E52">
        <w:rPr>
          <w:rFonts w:ascii="Century Schoolbook" w:hAnsi="Century Schoolbook"/>
        </w:rPr>
        <w:lastRenderedPageBreak/>
        <w:t xml:space="preserve">more than a person holding a protected religious or political belief must be </w:t>
      </w:r>
      <w:r w:rsidR="00C909C4" w:rsidRPr="00E53E52">
        <w:rPr>
          <w:rFonts w:ascii="Century Schoolbook" w:hAnsi="Century Schoolbook"/>
        </w:rPr>
        <w:t>“</w:t>
      </w:r>
      <w:r w:rsidRPr="00E53E52">
        <w:rPr>
          <w:rFonts w:ascii="Century Schoolbook" w:hAnsi="Century Schoolbook"/>
        </w:rPr>
        <w:t>ocularly</w:t>
      </w:r>
      <w:r w:rsidR="00C909C4" w:rsidRPr="00E53E52">
        <w:rPr>
          <w:rFonts w:ascii="Century Schoolbook" w:hAnsi="Century Schoolbook"/>
        </w:rPr>
        <w:t>”</w:t>
      </w:r>
      <w:r w:rsidRPr="00E53E52">
        <w:rPr>
          <w:rFonts w:ascii="Century Schoolbook" w:hAnsi="Century Schoolbook"/>
        </w:rPr>
        <w:t xml:space="preserve"> visible to others in society. Social distinction refers to social recognition, taking as its basis the plain language of the Act – in this case, the word </w:t>
      </w:r>
      <w:r w:rsidR="00C909C4" w:rsidRPr="00E53E52">
        <w:rPr>
          <w:rFonts w:ascii="Century Schoolbook" w:hAnsi="Century Schoolbook"/>
        </w:rPr>
        <w:t>“</w:t>
      </w:r>
      <w:r w:rsidRPr="00E53E52">
        <w:rPr>
          <w:rFonts w:ascii="Century Schoolbook" w:hAnsi="Century Schoolbook"/>
        </w:rPr>
        <w:t>social.</w:t>
      </w:r>
      <w:r w:rsidR="00C909C4" w:rsidRPr="00E53E52">
        <w:rPr>
          <w:rFonts w:ascii="Century Schoolbook" w:hAnsi="Century Schoolbook"/>
        </w:rPr>
        <w:t>”</w:t>
      </w:r>
      <w:r w:rsidRPr="00E53E52">
        <w:rPr>
          <w:rFonts w:ascii="Century Schoolbook" w:hAnsi="Century Schoolbook"/>
        </w:rPr>
        <w:t xml:space="preserve"> To be socially distinct, a group need not be seen by society; rather, it must be perceived as a group by society. Society can consider persons to comprise a group without being able to identify the group</w:t>
      </w:r>
      <w:r w:rsidR="00C909C4" w:rsidRPr="00E53E52">
        <w:rPr>
          <w:rFonts w:ascii="Century Schoolbook" w:hAnsi="Century Schoolbook"/>
        </w:rPr>
        <w:t>’</w:t>
      </w:r>
      <w:r w:rsidRPr="00E53E52">
        <w:rPr>
          <w:rFonts w:ascii="Century Schoolbook" w:hAnsi="Century Schoolbook"/>
        </w:rPr>
        <w:t>s members on sight.</w:t>
      </w:r>
    </w:p>
    <w:p w14:paraId="2A56298B" w14:textId="77777777" w:rsidR="00CB408E" w:rsidRPr="00E53E52" w:rsidRDefault="00CB408E" w:rsidP="0036367F">
      <w:pPr>
        <w:pStyle w:val="BodyText"/>
        <w:widowControl/>
        <w:spacing w:after="120"/>
        <w:ind w:firstLine="720"/>
        <w:rPr>
          <w:rFonts w:ascii="Century Schoolbook" w:hAnsi="Century Schoolbook"/>
        </w:rPr>
      </w:pPr>
      <w:bookmarkStart w:id="36" w:name="sp_999_13"/>
      <w:bookmarkStart w:id="37" w:name="SDU_13"/>
      <w:r w:rsidRPr="00E53E52">
        <w:rPr>
          <w:rFonts w:ascii="Century Schoolbook" w:hAnsi="Century Schoolbook"/>
        </w:rPr>
        <w:t xml:space="preserve">* * * For this reason, the fact that members of a particular social group may make efforts to hide their membership in the group to avoid persecution does not deprive the group of its protected status as a particular social group. </w:t>
      </w:r>
    </w:p>
    <w:p w14:paraId="468472E4" w14:textId="5EE4240B"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 xml:space="preserve">* * * [T]here is considerable overlap between the </w:t>
      </w:r>
      <w:r w:rsidR="00C909C4" w:rsidRPr="00E53E52">
        <w:rPr>
          <w:rFonts w:ascii="Century Schoolbook" w:hAnsi="Century Schoolbook"/>
        </w:rPr>
        <w:t>“</w:t>
      </w:r>
      <w:r w:rsidRPr="00E53E52">
        <w:rPr>
          <w:rFonts w:ascii="Century Schoolbook" w:hAnsi="Century Schoolbook"/>
        </w:rPr>
        <w:t>social distinction</w:t>
      </w:r>
      <w:r w:rsidR="00C909C4" w:rsidRPr="00E53E52">
        <w:rPr>
          <w:rFonts w:ascii="Century Schoolbook" w:hAnsi="Century Schoolbook"/>
        </w:rPr>
        <w:t>”</w:t>
      </w:r>
      <w:r w:rsidRPr="00E53E52">
        <w:rPr>
          <w:rFonts w:ascii="Century Schoolbook" w:hAnsi="Century Schoolbook"/>
        </w:rPr>
        <w:t xml:space="preserve"> and </w:t>
      </w:r>
      <w:r w:rsidR="00C909C4" w:rsidRPr="00E53E52">
        <w:rPr>
          <w:rFonts w:ascii="Century Schoolbook" w:hAnsi="Century Schoolbook"/>
        </w:rPr>
        <w:t>“</w:t>
      </w:r>
      <w:r w:rsidRPr="00E53E52">
        <w:rPr>
          <w:rFonts w:ascii="Century Schoolbook" w:hAnsi="Century Schoolbook"/>
        </w:rPr>
        <w:t>particularity</w:t>
      </w:r>
      <w:r w:rsidR="00C909C4" w:rsidRPr="00E53E52">
        <w:rPr>
          <w:rFonts w:ascii="Century Schoolbook" w:hAnsi="Century Schoolbook"/>
        </w:rPr>
        <w:t>”</w:t>
      </w:r>
      <w:r w:rsidRPr="00E53E52">
        <w:rPr>
          <w:rFonts w:ascii="Century Schoolbook" w:hAnsi="Century Schoolbook"/>
        </w:rPr>
        <w:t xml:space="preserve"> requirements, which has resulted in confusion. * * * </w:t>
      </w:r>
    </w:p>
    <w:bookmarkEnd w:id="36"/>
    <w:bookmarkEnd w:id="37"/>
    <w:p w14:paraId="623873E9" w14:textId="547EFFFE"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 xml:space="preserve">The </w:t>
      </w:r>
      <w:r w:rsidR="00C909C4" w:rsidRPr="00E53E52">
        <w:rPr>
          <w:rFonts w:ascii="Century Schoolbook" w:hAnsi="Century Schoolbook"/>
        </w:rPr>
        <w:t>“</w:t>
      </w:r>
      <w:r w:rsidRPr="00E53E52">
        <w:rPr>
          <w:rFonts w:ascii="Century Schoolbook" w:hAnsi="Century Schoolbook"/>
        </w:rPr>
        <w:t>social distinction</w:t>
      </w:r>
      <w:r w:rsidR="00C909C4" w:rsidRPr="00E53E52">
        <w:rPr>
          <w:rFonts w:ascii="Century Schoolbook" w:hAnsi="Century Schoolbook"/>
        </w:rPr>
        <w:t>”</w:t>
      </w:r>
      <w:r w:rsidRPr="00E53E52">
        <w:rPr>
          <w:rFonts w:ascii="Century Schoolbook" w:hAnsi="Century Schoolbook"/>
        </w:rPr>
        <w:t xml:space="preserve"> and </w:t>
      </w:r>
      <w:r w:rsidR="00C909C4" w:rsidRPr="00E53E52">
        <w:rPr>
          <w:rFonts w:ascii="Century Schoolbook" w:hAnsi="Century Schoolbook"/>
        </w:rPr>
        <w:t>“</w:t>
      </w:r>
      <w:r w:rsidR="00DA2A7D" w:rsidRPr="00E53E52">
        <w:rPr>
          <w:rFonts w:ascii="Century Schoolbook" w:hAnsi="Century Schoolbook"/>
        </w:rPr>
        <w:t>particularity</w:t>
      </w:r>
      <w:r w:rsidR="00C909C4" w:rsidRPr="00E53E52">
        <w:rPr>
          <w:rFonts w:ascii="Century Schoolbook" w:hAnsi="Century Schoolbook"/>
        </w:rPr>
        <w:t>”</w:t>
      </w:r>
      <w:r w:rsidRPr="00E53E52">
        <w:rPr>
          <w:rFonts w:ascii="Century Schoolbook" w:hAnsi="Century Schoolbook"/>
        </w:rPr>
        <w:t xml:space="preserve"> requirements each emphasize a different aspect of a particular social group. * * * While </w:t>
      </w:r>
      <w:r w:rsidR="00C909C4" w:rsidRPr="00E53E52">
        <w:rPr>
          <w:rFonts w:ascii="Century Schoolbook" w:hAnsi="Century Schoolbook"/>
        </w:rPr>
        <w:t>“</w:t>
      </w:r>
      <w:r w:rsidRPr="00E53E52">
        <w:rPr>
          <w:rFonts w:ascii="Century Schoolbook" w:hAnsi="Century Schoolbook"/>
        </w:rPr>
        <w:t>particularity</w:t>
      </w:r>
      <w:r w:rsidR="00C909C4" w:rsidRPr="00E53E52">
        <w:rPr>
          <w:rFonts w:ascii="Century Schoolbook" w:hAnsi="Century Schoolbook"/>
        </w:rPr>
        <w:t>”</w:t>
      </w:r>
      <w:r w:rsidRPr="00E53E52">
        <w:rPr>
          <w:rFonts w:ascii="Century Schoolbook" w:hAnsi="Century Schoolbook"/>
        </w:rPr>
        <w:t xml:space="preserve"> chiefly addresses the </w:t>
      </w:r>
      <w:r w:rsidR="00C909C4" w:rsidRPr="00E53E52">
        <w:rPr>
          <w:rFonts w:ascii="Century Schoolbook" w:hAnsi="Century Schoolbook"/>
        </w:rPr>
        <w:t>“</w:t>
      </w:r>
      <w:r w:rsidRPr="00E53E52">
        <w:rPr>
          <w:rFonts w:ascii="Century Schoolbook" w:hAnsi="Century Schoolbook"/>
        </w:rPr>
        <w:t>outer limits</w:t>
      </w:r>
      <w:r w:rsidR="00C909C4" w:rsidRPr="00E53E52">
        <w:rPr>
          <w:rFonts w:ascii="Century Schoolbook" w:hAnsi="Century Schoolbook"/>
        </w:rPr>
        <w:t>”</w:t>
      </w:r>
      <w:r w:rsidRPr="00E53E52">
        <w:rPr>
          <w:rFonts w:ascii="Century Schoolbook" w:hAnsi="Century Schoolbook"/>
        </w:rPr>
        <w:t xml:space="preserve"> of a group</w:t>
      </w:r>
      <w:r w:rsidR="00C909C4" w:rsidRPr="00E53E52">
        <w:rPr>
          <w:rFonts w:ascii="Century Schoolbook" w:hAnsi="Century Schoolbook"/>
        </w:rPr>
        <w:t>’</w:t>
      </w:r>
      <w:r w:rsidRPr="00E53E52">
        <w:rPr>
          <w:rFonts w:ascii="Century Schoolbook" w:hAnsi="Century Schoolbook"/>
        </w:rPr>
        <w:t xml:space="preserve">s boundaries and is definitional in nature, this question necessarily occurs in the context of the society in which the claim for asylum arises. Societal considerations have a significant impact on whether a proposed group describes a collection of people with appropriately defined boundaries and is sufficiently </w:t>
      </w:r>
      <w:r w:rsidR="00C909C4" w:rsidRPr="00E53E52">
        <w:rPr>
          <w:rFonts w:ascii="Century Schoolbook" w:hAnsi="Century Schoolbook"/>
        </w:rPr>
        <w:t>“</w:t>
      </w:r>
      <w:r w:rsidRPr="00E53E52">
        <w:rPr>
          <w:rFonts w:ascii="Century Schoolbook" w:hAnsi="Century Schoolbook"/>
        </w:rPr>
        <w:t>particular.</w:t>
      </w:r>
      <w:r w:rsidR="00C909C4" w:rsidRPr="00E53E52">
        <w:rPr>
          <w:rFonts w:ascii="Century Schoolbook" w:hAnsi="Century Schoolbook"/>
        </w:rPr>
        <w:t>”</w:t>
      </w:r>
      <w:r w:rsidRPr="00E53E52">
        <w:rPr>
          <w:rFonts w:ascii="Century Schoolbook" w:hAnsi="Century Schoolbook"/>
        </w:rPr>
        <w:t xml:space="preserve"> Similarly, societal considerations influence whether the people of a given society would perceive a proposed group as sufficiently separate or distinct to meet the </w:t>
      </w:r>
      <w:r w:rsidR="00C909C4" w:rsidRPr="00E53E52">
        <w:rPr>
          <w:rFonts w:ascii="Century Schoolbook" w:hAnsi="Century Schoolbook"/>
        </w:rPr>
        <w:t>“</w:t>
      </w:r>
      <w:r w:rsidRPr="00E53E52">
        <w:rPr>
          <w:rFonts w:ascii="Century Schoolbook" w:hAnsi="Century Schoolbook"/>
        </w:rPr>
        <w:t>social distinction</w:t>
      </w:r>
      <w:r w:rsidR="00C909C4" w:rsidRPr="00E53E52">
        <w:rPr>
          <w:rFonts w:ascii="Century Schoolbook" w:hAnsi="Century Schoolbook"/>
        </w:rPr>
        <w:t>”</w:t>
      </w:r>
      <w:r w:rsidRPr="00E53E52">
        <w:rPr>
          <w:rFonts w:ascii="Century Schoolbook" w:hAnsi="Century Schoolbook"/>
        </w:rPr>
        <w:t xml:space="preserve"> test.</w:t>
      </w:r>
    </w:p>
    <w:p w14:paraId="2AC39EBE" w14:textId="666D00A8" w:rsidR="00CB408E" w:rsidRPr="00E53E52" w:rsidRDefault="00CB408E" w:rsidP="0036367F">
      <w:pPr>
        <w:pStyle w:val="BodyText"/>
        <w:widowControl/>
        <w:spacing w:after="120"/>
        <w:ind w:firstLine="720"/>
        <w:rPr>
          <w:rFonts w:ascii="Century Schoolbook" w:hAnsi="Century Schoolbook"/>
        </w:rPr>
      </w:pPr>
      <w:bookmarkStart w:id="38" w:name="sp_999_14"/>
      <w:bookmarkStart w:id="39" w:name="SDU_14"/>
      <w:r w:rsidRPr="00E53E52">
        <w:rPr>
          <w:rFonts w:ascii="Century Schoolbook" w:hAnsi="Century Schoolbook"/>
        </w:rPr>
        <w:t xml:space="preserve">For example, in an underdeveloped, oligarchical society, </w:t>
      </w:r>
      <w:r w:rsidR="00C909C4" w:rsidRPr="00E53E52">
        <w:rPr>
          <w:rFonts w:ascii="Century Schoolbook" w:hAnsi="Century Schoolbook"/>
        </w:rPr>
        <w:t>“</w:t>
      </w:r>
      <w:r w:rsidRPr="00E53E52">
        <w:rPr>
          <w:rFonts w:ascii="Century Schoolbook" w:hAnsi="Century Schoolbook"/>
        </w:rPr>
        <w:t>landowners</w:t>
      </w:r>
      <w:r w:rsidR="00C909C4" w:rsidRPr="00E53E52">
        <w:rPr>
          <w:rFonts w:ascii="Century Schoolbook" w:hAnsi="Century Schoolbook"/>
        </w:rPr>
        <w:t>”</w:t>
      </w:r>
      <w:r w:rsidRPr="00E53E52">
        <w:rPr>
          <w:rFonts w:ascii="Century Schoolbook" w:hAnsi="Century Schoolbook"/>
        </w:rPr>
        <w:t xml:space="preserve"> may be a sufficiently discrete class to meet the criterion of particularity, and the society may view landowners as a discrete group, sufficient to meet the social distinction test. However, such a group would likely be far too amorphous to meet the particularity requirement in Canada, and Canadian society may not view landowners as sufficiently distinct from the rest of society to satisfy the social distinction test. In analyzing whether either of these hypothetical claims would establish a particular social group under the Act, an Immigration Judge should make findings whether </w:t>
      </w:r>
      <w:r w:rsidR="00C909C4" w:rsidRPr="00E53E52">
        <w:rPr>
          <w:rFonts w:ascii="Century Schoolbook" w:hAnsi="Century Schoolbook"/>
        </w:rPr>
        <w:t>“</w:t>
      </w:r>
      <w:r w:rsidRPr="00E53E52">
        <w:rPr>
          <w:rFonts w:ascii="Century Schoolbook" w:hAnsi="Century Schoolbook"/>
        </w:rPr>
        <w:t>landowners</w:t>
      </w:r>
      <w:r w:rsidR="00C909C4" w:rsidRPr="00E53E52">
        <w:rPr>
          <w:rFonts w:ascii="Century Schoolbook" w:hAnsi="Century Schoolbook"/>
        </w:rPr>
        <w:t>”</w:t>
      </w:r>
      <w:r w:rsidRPr="00E53E52">
        <w:rPr>
          <w:rFonts w:ascii="Century Schoolbook" w:hAnsi="Century Schoolbook"/>
        </w:rPr>
        <w:t xml:space="preserve"> share a common immutable characteristic, whether the group is discrete or amorphous, and whether the society in question considers </w:t>
      </w:r>
      <w:r w:rsidR="00C909C4" w:rsidRPr="00E53E52">
        <w:rPr>
          <w:rFonts w:ascii="Century Schoolbook" w:hAnsi="Century Schoolbook"/>
        </w:rPr>
        <w:t>“</w:t>
      </w:r>
      <w:r w:rsidRPr="00E53E52">
        <w:rPr>
          <w:rFonts w:ascii="Century Schoolbook" w:hAnsi="Century Schoolbook"/>
        </w:rPr>
        <w:t>landowners</w:t>
      </w:r>
      <w:r w:rsidR="00C909C4" w:rsidRPr="00E53E52">
        <w:rPr>
          <w:rFonts w:ascii="Century Schoolbook" w:hAnsi="Century Schoolbook"/>
        </w:rPr>
        <w:t>”</w:t>
      </w:r>
      <w:r w:rsidRPr="00E53E52">
        <w:rPr>
          <w:rFonts w:ascii="Century Schoolbook" w:hAnsi="Century Schoolbook"/>
        </w:rPr>
        <w:t xml:space="preserve"> as a significantly distinct group within the society. Thus, the concepts may overlap in application, but each serves a separate purpose.</w:t>
      </w:r>
    </w:p>
    <w:p w14:paraId="2DADA47C" w14:textId="562D0D33" w:rsidR="00CB408E" w:rsidRPr="00E53E52" w:rsidRDefault="00CB408E" w:rsidP="001D1D6E">
      <w:pPr>
        <w:spacing w:after="120"/>
        <w:jc w:val="center"/>
        <w:outlineLvl w:val="0"/>
        <w:rPr>
          <w:rFonts w:ascii="Century Schoolbook" w:hAnsi="Century Schoolbook"/>
          <w:i/>
        </w:rPr>
      </w:pPr>
      <w:r w:rsidRPr="00E53E52">
        <w:rPr>
          <w:rFonts w:ascii="Century Schoolbook" w:hAnsi="Century Schoolbook"/>
          <w:i/>
        </w:rPr>
        <w:t>4. Society</w:t>
      </w:r>
      <w:r w:rsidR="00C909C4" w:rsidRPr="00E53E52">
        <w:rPr>
          <w:rFonts w:ascii="Century Schoolbook" w:hAnsi="Century Schoolbook"/>
          <w:i/>
        </w:rPr>
        <w:t>’</w:t>
      </w:r>
      <w:r w:rsidRPr="00E53E52">
        <w:rPr>
          <w:rFonts w:ascii="Century Schoolbook" w:hAnsi="Century Schoolbook"/>
          <w:i/>
        </w:rPr>
        <w:t>s Perception</w:t>
      </w:r>
    </w:p>
    <w:p w14:paraId="798BEB21" w14:textId="6D643A4E"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 xml:space="preserve">The Ninth Circuit has recently observed that neither it nor the Board </w:t>
      </w:r>
      <w:r w:rsidR="00C909C4" w:rsidRPr="00E53E52">
        <w:rPr>
          <w:rFonts w:ascii="Century Schoolbook" w:hAnsi="Century Schoolbook"/>
        </w:rPr>
        <w:t>“</w:t>
      </w:r>
      <w:r w:rsidRPr="00E53E52">
        <w:rPr>
          <w:rFonts w:ascii="Century Schoolbook" w:hAnsi="Century Schoolbook"/>
        </w:rPr>
        <w:t>has clearly specified whose perspectives are most indicative of society</w:t>
      </w:r>
      <w:r w:rsidR="00C909C4" w:rsidRPr="00E53E52">
        <w:rPr>
          <w:rFonts w:ascii="Century Schoolbook" w:hAnsi="Century Schoolbook"/>
        </w:rPr>
        <w:t>’</w:t>
      </w:r>
      <w:r w:rsidRPr="00E53E52">
        <w:rPr>
          <w:rFonts w:ascii="Century Schoolbook" w:hAnsi="Century Schoolbook"/>
        </w:rPr>
        <w:t>s perception of a particular social group.</w:t>
      </w:r>
      <w:r w:rsidR="00C909C4" w:rsidRPr="00E53E52">
        <w:rPr>
          <w:rFonts w:ascii="Century Schoolbook" w:hAnsi="Century Schoolbook"/>
        </w:rPr>
        <w:t>”</w:t>
      </w:r>
      <w:r w:rsidRPr="00E53E52">
        <w:rPr>
          <w:rFonts w:ascii="Century Schoolbook" w:hAnsi="Century Schoolbook"/>
        </w:rPr>
        <w:t xml:space="preserve"> </w:t>
      </w:r>
      <w:r w:rsidRPr="00E53E52">
        <w:rPr>
          <w:rFonts w:ascii="Century Schoolbook" w:hAnsi="Century Schoolbook"/>
          <w:i/>
          <w:iCs/>
        </w:rPr>
        <w:t>Henriquez-Rivas v. Holder</w:t>
      </w:r>
      <w:r w:rsidRPr="00E53E52">
        <w:rPr>
          <w:rFonts w:ascii="Century Schoolbook" w:hAnsi="Century Schoolbook"/>
        </w:rPr>
        <w:t xml:space="preserve">, 707 F.3d at 1089). Interpreting </w:t>
      </w:r>
      <w:r w:rsidR="00C909C4" w:rsidRPr="00E53E52">
        <w:rPr>
          <w:rFonts w:ascii="Century Schoolbook" w:hAnsi="Century Schoolbook"/>
        </w:rPr>
        <w:t>“</w:t>
      </w:r>
      <w:r w:rsidRPr="00E53E52">
        <w:rPr>
          <w:rFonts w:ascii="Century Schoolbook" w:hAnsi="Century Schoolbook"/>
        </w:rPr>
        <w:t>membership in a particular social group</w:t>
      </w:r>
      <w:r w:rsidR="00C909C4" w:rsidRPr="00E53E52">
        <w:rPr>
          <w:rFonts w:ascii="Century Schoolbook" w:hAnsi="Century Schoolbook"/>
        </w:rPr>
        <w:t>”</w:t>
      </w:r>
      <w:r w:rsidRPr="00E53E52">
        <w:rPr>
          <w:rFonts w:ascii="Century Schoolbook" w:hAnsi="Century Schoolbook"/>
        </w:rPr>
        <w:t xml:space="preserve"> consistently with the other statutory grounds within the context of refugee protection, we clarify that a group</w:t>
      </w:r>
      <w:r w:rsidR="00C909C4" w:rsidRPr="00E53E52">
        <w:rPr>
          <w:rFonts w:ascii="Century Schoolbook" w:hAnsi="Century Schoolbook"/>
        </w:rPr>
        <w:t>’</w:t>
      </w:r>
      <w:r w:rsidRPr="00E53E52">
        <w:rPr>
          <w:rFonts w:ascii="Century Schoolbook" w:hAnsi="Century Schoolbook"/>
        </w:rPr>
        <w:t>s recognition for asylum purposes is determined by the perception of the society in question, rather than by the perception of the persecutor.</w:t>
      </w:r>
    </w:p>
    <w:p w14:paraId="07C85923" w14:textId="12930B57"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 xml:space="preserve">Defining a social group based on the perception of the persecutor is problematic for two significant reasons. First, it is important to distinguish between the inquiry into whether a group is a </w:t>
      </w:r>
      <w:r w:rsidR="00C909C4" w:rsidRPr="00E53E52">
        <w:rPr>
          <w:rFonts w:ascii="Century Schoolbook" w:hAnsi="Century Schoolbook"/>
        </w:rPr>
        <w:t>“</w:t>
      </w:r>
      <w:r w:rsidRPr="00E53E52">
        <w:rPr>
          <w:rFonts w:ascii="Century Schoolbook" w:hAnsi="Century Schoolbook"/>
        </w:rPr>
        <w:t>particular social group</w:t>
      </w:r>
      <w:r w:rsidR="00C909C4" w:rsidRPr="00E53E52">
        <w:rPr>
          <w:rFonts w:ascii="Century Schoolbook" w:hAnsi="Century Schoolbook"/>
        </w:rPr>
        <w:t>”</w:t>
      </w:r>
      <w:r w:rsidRPr="00E53E52">
        <w:rPr>
          <w:rFonts w:ascii="Century Schoolbook" w:hAnsi="Century Schoolbook"/>
        </w:rPr>
        <w:t xml:space="preserve"> and the question whether a person is persecuted </w:t>
      </w:r>
      <w:r w:rsidR="00C909C4" w:rsidRPr="00E53E52">
        <w:rPr>
          <w:rFonts w:ascii="Century Schoolbook" w:hAnsi="Century Schoolbook"/>
        </w:rPr>
        <w:t>“</w:t>
      </w:r>
      <w:r w:rsidRPr="00E53E52">
        <w:rPr>
          <w:rFonts w:ascii="Century Schoolbook" w:hAnsi="Century Schoolbook"/>
        </w:rPr>
        <w:t xml:space="preserve">on </w:t>
      </w:r>
      <w:r w:rsidRPr="00E53E52">
        <w:rPr>
          <w:rFonts w:ascii="Century Schoolbook" w:hAnsi="Century Schoolbook"/>
        </w:rPr>
        <w:lastRenderedPageBreak/>
        <w:t>account of</w:t>
      </w:r>
      <w:r w:rsidR="00C909C4" w:rsidRPr="00E53E52">
        <w:rPr>
          <w:rFonts w:ascii="Century Schoolbook" w:hAnsi="Century Schoolbook"/>
        </w:rPr>
        <w:t>”</w:t>
      </w:r>
      <w:r w:rsidRPr="00E53E52">
        <w:rPr>
          <w:rFonts w:ascii="Century Schoolbook" w:hAnsi="Century Schoolbook"/>
        </w:rPr>
        <w:t xml:space="preserve"> membership in a particular social group. In other words, we must separate the assessment whether the applicant has established the existence of one of the enumerated grounds (religion, political opinion, race, ethnicity, and particular social group) from the issue of nexus. The structure of the Act supports preserving this distinction, which should not be blurred by defining a social group based solely on the perception of the persecutor.</w:t>
      </w:r>
    </w:p>
    <w:bookmarkEnd w:id="38"/>
    <w:bookmarkEnd w:id="39"/>
    <w:p w14:paraId="2C1048D7" w14:textId="74FEC1F5"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 xml:space="preserve">Second, defining a particular social group from the perspective of the persecutor is in conflict with our prior holding that </w:t>
      </w:r>
      <w:r w:rsidR="00C909C4" w:rsidRPr="00E53E52">
        <w:rPr>
          <w:rFonts w:ascii="Century Schoolbook" w:hAnsi="Century Schoolbook"/>
        </w:rPr>
        <w:t>“</w:t>
      </w:r>
      <w:r w:rsidRPr="00E53E52">
        <w:rPr>
          <w:rFonts w:ascii="Century Schoolbook" w:hAnsi="Century Schoolbook"/>
        </w:rPr>
        <w:t>a social group cannot be defined exclusively by the fact that its members have been subjected to harm.</w:t>
      </w:r>
      <w:r w:rsidR="00C909C4" w:rsidRPr="00E53E52">
        <w:rPr>
          <w:rFonts w:ascii="Century Schoolbook" w:hAnsi="Century Schoolbook"/>
        </w:rPr>
        <w:t>”</w:t>
      </w:r>
      <w:r w:rsidRPr="00E53E52">
        <w:rPr>
          <w:rFonts w:ascii="Century Schoolbook" w:hAnsi="Century Schoolbook"/>
        </w:rPr>
        <w:t xml:space="preserve"> </w:t>
      </w:r>
      <w:r w:rsidRPr="00E53E52">
        <w:rPr>
          <w:rFonts w:ascii="Century Schoolbook" w:hAnsi="Century Schoolbook"/>
          <w:i/>
          <w:iCs/>
        </w:rPr>
        <w:t>Matter of A–M–E– &amp; J–G–U–</w:t>
      </w:r>
      <w:r w:rsidRPr="00E53E52">
        <w:rPr>
          <w:rFonts w:ascii="Century Schoolbook" w:hAnsi="Century Schoolbook"/>
        </w:rPr>
        <w:t>, 24 I&amp;N Dec. at 74. The perception of the applicant</w:t>
      </w:r>
      <w:r w:rsidR="00C909C4" w:rsidRPr="00E53E52">
        <w:rPr>
          <w:rFonts w:ascii="Century Schoolbook" w:hAnsi="Century Schoolbook"/>
        </w:rPr>
        <w:t>’</w:t>
      </w:r>
      <w:r w:rsidRPr="00E53E52">
        <w:rPr>
          <w:rFonts w:ascii="Century Schoolbook" w:hAnsi="Century Schoolbook"/>
        </w:rPr>
        <w:t>s persecutors may be relevant, because it can be indicative of whether society views the group as distinct. However, the persecutors</w:t>
      </w:r>
      <w:r w:rsidR="00C909C4" w:rsidRPr="00E53E52">
        <w:rPr>
          <w:rFonts w:ascii="Century Schoolbook" w:hAnsi="Century Schoolbook"/>
        </w:rPr>
        <w:t>’</w:t>
      </w:r>
      <w:r w:rsidRPr="00E53E52">
        <w:rPr>
          <w:rFonts w:ascii="Century Schoolbook" w:hAnsi="Century Schoolbook"/>
        </w:rPr>
        <w:t xml:space="preserve"> perception is not itself enough to make a group socially distinct, and persecutory conduct alone cannot define the group. </w:t>
      </w:r>
    </w:p>
    <w:p w14:paraId="07C731A2" w14:textId="5CB565BF" w:rsidR="00CB408E" w:rsidRPr="00E53E52" w:rsidRDefault="00CB408E" w:rsidP="0036367F">
      <w:pPr>
        <w:pStyle w:val="BodyText"/>
        <w:widowControl/>
        <w:spacing w:after="120"/>
        <w:ind w:firstLine="720"/>
        <w:rPr>
          <w:rFonts w:ascii="Century Schoolbook" w:hAnsi="Century Schoolbook"/>
        </w:rPr>
      </w:pPr>
      <w:bookmarkStart w:id="40" w:name="sp_999_15"/>
      <w:bookmarkStart w:id="41" w:name="SDU_15"/>
      <w:r w:rsidRPr="00E53E52">
        <w:rPr>
          <w:rFonts w:ascii="Century Schoolbook" w:hAnsi="Century Schoolbook"/>
        </w:rPr>
        <w:t>For example, a proposed social group composed of former employees of a country</w:t>
      </w:r>
      <w:r w:rsidR="00C909C4" w:rsidRPr="00E53E52">
        <w:rPr>
          <w:rFonts w:ascii="Century Schoolbook" w:hAnsi="Century Schoolbook"/>
        </w:rPr>
        <w:t>’</w:t>
      </w:r>
      <w:r w:rsidRPr="00E53E52">
        <w:rPr>
          <w:rFonts w:ascii="Century Schoolbook" w:hAnsi="Century Schoolbook"/>
        </w:rPr>
        <w:t>s attorney general may not be valid for asylum purposes. Although such a shared past experience is immutable and the group is sufficiently discrete, the employees may not consider themselves a separate group within the society, and the society may not consider these employees to be meaningfully distinct within society in general. * * *</w:t>
      </w:r>
    </w:p>
    <w:p w14:paraId="7FC7B8F0" w14:textId="05D3EBBC"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 xml:space="preserve">[If the government begins </w:t>
      </w:r>
      <w:bookmarkStart w:id="42" w:name="sp_1650_243"/>
      <w:bookmarkStart w:id="43" w:name="SDU_243"/>
      <w:bookmarkEnd w:id="42"/>
      <w:bookmarkEnd w:id="43"/>
      <w:r w:rsidRPr="00E53E52">
        <w:rPr>
          <w:rFonts w:ascii="Century Schoolbook" w:hAnsi="Century Schoolbook"/>
        </w:rPr>
        <w:t xml:space="preserve">persecuting the former employees,] it is possible that these people would experience a sense of </w:t>
      </w:r>
      <w:r w:rsidR="00C909C4" w:rsidRPr="00E53E52">
        <w:rPr>
          <w:rFonts w:ascii="Century Schoolbook" w:hAnsi="Century Schoolbook"/>
        </w:rPr>
        <w:t>“</w:t>
      </w:r>
      <w:r w:rsidRPr="00E53E52">
        <w:rPr>
          <w:rFonts w:ascii="Century Schoolbook" w:hAnsi="Century Schoolbook"/>
        </w:rPr>
        <w:t>group,</w:t>
      </w:r>
      <w:r w:rsidR="00C909C4" w:rsidRPr="00E53E52">
        <w:rPr>
          <w:rFonts w:ascii="Century Schoolbook" w:hAnsi="Century Schoolbook"/>
        </w:rPr>
        <w:t>”</w:t>
      </w:r>
      <w:r w:rsidRPr="00E53E52">
        <w:rPr>
          <w:rFonts w:ascii="Century Schoolbook" w:hAnsi="Century Schoolbook"/>
        </w:rPr>
        <w:t xml:space="preserve"> and society would discern that this group of individuals, who share a common immutable characteristic, is distinct in some significant way. The act of persecution by the government may be the catalyst that causes the society to distinguish the former employees in a meaningful way and consider them a distinct group, but the immutable characteristic of their shared past experience exists independent of the persecution.</w:t>
      </w:r>
    </w:p>
    <w:bookmarkEnd w:id="40"/>
    <w:bookmarkEnd w:id="41"/>
    <w:p w14:paraId="2C0ECC05" w14:textId="29297268"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The persecutor</w:t>
      </w:r>
      <w:r w:rsidR="00C909C4" w:rsidRPr="00E53E52">
        <w:rPr>
          <w:rFonts w:ascii="Century Schoolbook" w:hAnsi="Century Schoolbook"/>
        </w:rPr>
        <w:t>’</w:t>
      </w:r>
      <w:r w:rsidRPr="00E53E52">
        <w:rPr>
          <w:rFonts w:ascii="Century Schoolbook" w:hAnsi="Century Schoolbook"/>
        </w:rPr>
        <w:t xml:space="preserve">s actions or perceptions may also be relevant in cases involving persecution on account of </w:t>
      </w:r>
      <w:r w:rsidR="00C909C4" w:rsidRPr="00E53E52">
        <w:rPr>
          <w:rFonts w:ascii="Century Schoolbook" w:hAnsi="Century Schoolbook"/>
        </w:rPr>
        <w:t>“</w:t>
      </w:r>
      <w:r w:rsidRPr="00E53E52">
        <w:rPr>
          <w:rFonts w:ascii="Century Schoolbook" w:hAnsi="Century Schoolbook"/>
        </w:rPr>
        <w:t>imputed</w:t>
      </w:r>
      <w:r w:rsidR="00C909C4" w:rsidRPr="00E53E52">
        <w:rPr>
          <w:rFonts w:ascii="Century Schoolbook" w:hAnsi="Century Schoolbook"/>
        </w:rPr>
        <w:t>”</w:t>
      </w:r>
      <w:r w:rsidRPr="00E53E52">
        <w:rPr>
          <w:rFonts w:ascii="Century Schoolbook" w:hAnsi="Century Schoolbook"/>
        </w:rPr>
        <w:t xml:space="preserve"> grounds * * *. For example, an individual may present a valid asylum claim if he is incorrectly identified as a homosexual by a government that registers and maintains files on homosexuals––in a society that considers homosexuals a distinct group united by a common immutable characteristic. In such a case, the social group exists independent of the persecution, and the perception of the persecutor is relevant to the issue of nexus (whether the persecution was or would be on account of the applicant</w:t>
      </w:r>
      <w:r w:rsidR="00C909C4" w:rsidRPr="00E53E52">
        <w:rPr>
          <w:rFonts w:ascii="Century Schoolbook" w:hAnsi="Century Schoolbook"/>
        </w:rPr>
        <w:t>’</w:t>
      </w:r>
      <w:r w:rsidRPr="00E53E52">
        <w:rPr>
          <w:rFonts w:ascii="Century Schoolbook" w:hAnsi="Century Schoolbook"/>
        </w:rPr>
        <w:t>s imputed homosexuality).</w:t>
      </w:r>
    </w:p>
    <w:p w14:paraId="4EB5A6F8" w14:textId="5226789E" w:rsidR="00CB408E" w:rsidRPr="00E53E52" w:rsidRDefault="00CB408E" w:rsidP="0036367F">
      <w:pPr>
        <w:pStyle w:val="BodyText"/>
        <w:widowControl/>
        <w:spacing w:after="120"/>
        <w:ind w:firstLine="720"/>
        <w:rPr>
          <w:rFonts w:ascii="Century Schoolbook" w:hAnsi="Century Schoolbook"/>
        </w:rPr>
      </w:pPr>
      <w:bookmarkStart w:id="44" w:name="sp_999_16"/>
      <w:bookmarkStart w:id="45" w:name="SDU_16"/>
      <w:r w:rsidRPr="00E53E52">
        <w:rPr>
          <w:rFonts w:ascii="Century Schoolbook" w:hAnsi="Century Schoolbook"/>
        </w:rPr>
        <w:t>Persecution limited to a remote region of a country may invite an inquiry into a more limited subset of the country</w:t>
      </w:r>
      <w:r w:rsidR="00C909C4" w:rsidRPr="00E53E52">
        <w:rPr>
          <w:rFonts w:ascii="Century Schoolbook" w:hAnsi="Century Schoolbook"/>
        </w:rPr>
        <w:t>’</w:t>
      </w:r>
      <w:r w:rsidRPr="00E53E52">
        <w:rPr>
          <w:rFonts w:ascii="Century Schoolbook" w:hAnsi="Century Schoolbook"/>
        </w:rPr>
        <w:t>s society * * * . However, the refugee analysis must still consider whether government protection is available, internal relocation is possible, and persecution extends countrywide. * * *</w:t>
      </w:r>
    </w:p>
    <w:p w14:paraId="29D3590D" w14:textId="77777777" w:rsidR="00CB408E" w:rsidRPr="00E53E52" w:rsidRDefault="00CB408E" w:rsidP="003B53DA">
      <w:pPr>
        <w:spacing w:after="0"/>
        <w:jc w:val="center"/>
        <w:outlineLvl w:val="0"/>
        <w:rPr>
          <w:rFonts w:ascii="Century Schoolbook" w:hAnsi="Century Schoolbook"/>
        </w:rPr>
      </w:pPr>
      <w:r w:rsidRPr="00E53E52">
        <w:rPr>
          <w:rFonts w:ascii="Century Schoolbook" w:hAnsi="Century Schoolbook"/>
        </w:rPr>
        <w:t>C. Evidentiary Burdens</w:t>
      </w:r>
    </w:p>
    <w:bookmarkEnd w:id="44"/>
    <w:bookmarkEnd w:id="45"/>
    <w:p w14:paraId="2C0C2336" w14:textId="77777777" w:rsidR="00CB408E" w:rsidRPr="00E53E52" w:rsidRDefault="00CB408E" w:rsidP="003B53DA">
      <w:pPr>
        <w:spacing w:after="0"/>
        <w:jc w:val="center"/>
        <w:outlineLvl w:val="0"/>
        <w:rPr>
          <w:rFonts w:ascii="Century Schoolbook" w:hAnsi="Century Schoolbook"/>
        </w:rPr>
      </w:pPr>
      <w:r w:rsidRPr="00E53E52">
        <w:rPr>
          <w:rFonts w:ascii="Century Schoolbook" w:hAnsi="Century Schoolbook"/>
        </w:rPr>
        <w:t>* * *</w:t>
      </w:r>
    </w:p>
    <w:p w14:paraId="68AFA023" w14:textId="565DEFD5" w:rsidR="00CB408E" w:rsidRPr="00E53E52" w:rsidRDefault="00CB408E" w:rsidP="0036367F">
      <w:pPr>
        <w:pStyle w:val="BodyText"/>
        <w:widowControl/>
        <w:spacing w:after="120"/>
        <w:ind w:firstLine="720"/>
        <w:rPr>
          <w:rFonts w:ascii="Century Schoolbook" w:hAnsi="Century Schoolbook"/>
        </w:rPr>
      </w:pPr>
      <w:bookmarkStart w:id="46" w:name="sp_999_17"/>
      <w:bookmarkStart w:id="47" w:name="SDU_17"/>
      <w:r w:rsidRPr="00E53E52">
        <w:rPr>
          <w:rFonts w:ascii="Century Schoolbook" w:hAnsi="Century Schoolbook"/>
        </w:rPr>
        <w:t xml:space="preserve">[T]he applicant has the burden to establish a claim based on membership in a particular social group and will be required to present evidence that the proposed group </w:t>
      </w:r>
      <w:r w:rsidRPr="00E53E52">
        <w:rPr>
          <w:rFonts w:ascii="Century Schoolbook" w:hAnsi="Century Schoolbook"/>
        </w:rPr>
        <w:lastRenderedPageBreak/>
        <w:t xml:space="preserve">exists in the society in question. * * * [A] successful case will require evidence that members of the proposed particular social group share a common immutable characteristic, that the group is sufficiently particular, and that it is set apart within the society in some significant way. Evidence such as country conditions reports, expert witness testimony, and press accounts of discriminatory laws and policies, historical animosities, and the like may establish that a group exists and is perceived as </w:t>
      </w:r>
      <w:r w:rsidR="00C909C4" w:rsidRPr="00E53E52">
        <w:rPr>
          <w:rFonts w:ascii="Century Schoolbook" w:hAnsi="Century Schoolbook"/>
        </w:rPr>
        <w:t>“</w:t>
      </w:r>
      <w:r w:rsidRPr="00E53E52">
        <w:rPr>
          <w:rFonts w:ascii="Century Schoolbook" w:hAnsi="Century Schoolbook"/>
        </w:rPr>
        <w:t>distinct</w:t>
      </w:r>
      <w:r w:rsidR="00C909C4" w:rsidRPr="00E53E52">
        <w:rPr>
          <w:rFonts w:ascii="Century Schoolbook" w:hAnsi="Century Schoolbook"/>
        </w:rPr>
        <w:t>”</w:t>
      </w:r>
      <w:r w:rsidRPr="00E53E52">
        <w:rPr>
          <w:rFonts w:ascii="Century Schoolbook" w:hAnsi="Century Schoolbook"/>
        </w:rPr>
        <w:t xml:space="preserve"> or </w:t>
      </w:r>
      <w:r w:rsidR="00C909C4" w:rsidRPr="00E53E52">
        <w:rPr>
          <w:rFonts w:ascii="Century Schoolbook" w:hAnsi="Century Schoolbook"/>
        </w:rPr>
        <w:t>“</w:t>
      </w:r>
      <w:r w:rsidRPr="00E53E52">
        <w:rPr>
          <w:rFonts w:ascii="Century Schoolbook" w:hAnsi="Century Schoolbook"/>
        </w:rPr>
        <w:t>other</w:t>
      </w:r>
      <w:r w:rsidR="00C909C4" w:rsidRPr="00E53E52">
        <w:rPr>
          <w:rFonts w:ascii="Century Schoolbook" w:hAnsi="Century Schoolbook"/>
        </w:rPr>
        <w:t>”</w:t>
      </w:r>
      <w:r w:rsidRPr="00E53E52">
        <w:rPr>
          <w:rFonts w:ascii="Century Schoolbook" w:hAnsi="Century Schoolbook"/>
        </w:rPr>
        <w:t xml:space="preserve"> in a particular society. * * * </w:t>
      </w:r>
    </w:p>
    <w:p w14:paraId="349F5088" w14:textId="77777777" w:rsidR="00CB408E" w:rsidRPr="00E53E52" w:rsidRDefault="00CB408E" w:rsidP="001D1D6E">
      <w:pPr>
        <w:spacing w:after="120"/>
        <w:jc w:val="center"/>
        <w:outlineLvl w:val="0"/>
        <w:rPr>
          <w:rFonts w:ascii="Century Schoolbook" w:hAnsi="Century Schoolbook"/>
        </w:rPr>
      </w:pPr>
      <w:r w:rsidRPr="00E53E52">
        <w:rPr>
          <w:rFonts w:ascii="Century Schoolbook" w:hAnsi="Century Schoolbook"/>
        </w:rPr>
        <w:t>D. Consistency with Prior Board Precedent</w:t>
      </w:r>
    </w:p>
    <w:p w14:paraId="5EE147DF" w14:textId="77777777"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 xml:space="preserve">In its decision, the Third Circuit declined to afford </w:t>
      </w:r>
      <w:r w:rsidRPr="00E53E52">
        <w:rPr>
          <w:rFonts w:ascii="Century Schoolbook" w:hAnsi="Century Schoolbook"/>
          <w:i/>
          <w:iCs/>
        </w:rPr>
        <w:t>Chevron</w:t>
      </w:r>
      <w:r w:rsidRPr="00E53E52">
        <w:rPr>
          <w:rFonts w:ascii="Century Schoolbook" w:hAnsi="Century Schoolbook"/>
        </w:rPr>
        <w:t xml:space="preserve"> deference to our prior interpretation of the requirements for a particular social group </w:t>
      </w:r>
      <w:bookmarkStart w:id="48" w:name="sp_1650_245"/>
      <w:bookmarkStart w:id="49" w:name="SDU_245"/>
      <w:bookmarkEnd w:id="48"/>
      <w:bookmarkEnd w:id="49"/>
      <w:r w:rsidRPr="00E53E52">
        <w:rPr>
          <w:rFonts w:ascii="Century Schoolbook" w:hAnsi="Century Schoolbook"/>
        </w:rPr>
        <w:t xml:space="preserve">because it perceived them to be inconsistent with our past decisions, in particular </w:t>
      </w:r>
      <w:r w:rsidRPr="00E53E52">
        <w:rPr>
          <w:rFonts w:ascii="Century Schoolbook" w:hAnsi="Century Schoolbook"/>
          <w:i/>
          <w:iCs/>
        </w:rPr>
        <w:t>Matter of Kasinga, Matter of Toboso-Alfonso</w:t>
      </w:r>
      <w:r w:rsidRPr="00E53E52">
        <w:rPr>
          <w:rFonts w:ascii="Century Schoolbook" w:hAnsi="Century Schoolbook"/>
        </w:rPr>
        <w:t xml:space="preserve">, and </w:t>
      </w:r>
      <w:r w:rsidRPr="00E53E52">
        <w:rPr>
          <w:rFonts w:ascii="Century Schoolbook" w:hAnsi="Century Schoolbook"/>
          <w:i/>
          <w:iCs/>
        </w:rPr>
        <w:t xml:space="preserve">Matter of Fuentes. </w:t>
      </w:r>
      <w:r w:rsidRPr="00E53E52">
        <w:rPr>
          <w:rFonts w:ascii="Century Schoolbook" w:hAnsi="Century Schoolbook"/>
        </w:rPr>
        <w:t xml:space="preserve">* * * </w:t>
      </w:r>
    </w:p>
    <w:p w14:paraId="038F2762" w14:textId="77777777" w:rsidR="00CB408E" w:rsidRPr="00E53E52" w:rsidRDefault="00CB408E" w:rsidP="00C61D06">
      <w:pPr>
        <w:spacing w:after="0"/>
        <w:jc w:val="center"/>
        <w:rPr>
          <w:rFonts w:ascii="Century Schoolbook" w:hAnsi="Century Schoolbook"/>
        </w:rPr>
      </w:pPr>
      <w:r w:rsidRPr="00E53E52">
        <w:rPr>
          <w:rFonts w:ascii="Century Schoolbook" w:hAnsi="Century Schoolbook"/>
        </w:rPr>
        <w:t>* * *</w:t>
      </w:r>
    </w:p>
    <w:p w14:paraId="25E68743" w14:textId="77777777" w:rsidR="00CB408E" w:rsidRPr="00E53E52" w:rsidRDefault="00CB408E" w:rsidP="0036367F">
      <w:pPr>
        <w:pStyle w:val="BodyText"/>
        <w:widowControl/>
        <w:spacing w:after="120"/>
        <w:ind w:firstLine="720"/>
        <w:rPr>
          <w:rFonts w:ascii="Century Schoolbook" w:hAnsi="Century Schoolbook"/>
        </w:rPr>
      </w:pPr>
      <w:bookmarkStart w:id="50" w:name="sp_999_18"/>
      <w:bookmarkStart w:id="51" w:name="SDU_18"/>
      <w:bookmarkEnd w:id="46"/>
      <w:bookmarkEnd w:id="47"/>
      <w:r w:rsidRPr="00E53E52">
        <w:rPr>
          <w:rFonts w:ascii="Century Schoolbook" w:hAnsi="Century Schoolbook"/>
        </w:rPr>
        <w:t xml:space="preserve"> [In </w:t>
      </w:r>
      <w:r w:rsidRPr="00E53E52">
        <w:rPr>
          <w:rFonts w:ascii="Century Schoolbook" w:hAnsi="Century Schoolbook"/>
          <w:i/>
          <w:iCs/>
        </w:rPr>
        <w:t>Matter of Toboso-Alfonso</w:t>
      </w:r>
      <w:r w:rsidRPr="00E53E52">
        <w:rPr>
          <w:rFonts w:ascii="Century Schoolbook" w:hAnsi="Century Schoolbook"/>
        </w:rPr>
        <w:t>, 20 I &amp; N Dec. 819 (BIA 1990) the proposed group,] homosexuals in Cuba, was sufficiently particular because it was a discrete group with well-defined boundaries. The group was based on an immutable characteristic that provided an adequate benchmark for defining the members of the group, and it did not rely on a vague or subjective characteristic. The record established the existence of a Cuban governmental office that registered and maintained files on homosexuals. The applicant testified that residents threw eggs and tomatoes at him when he was being forced to leave the country because of his status as a homosexual, and he submitted evidence that suspected homosexuals were subjected to physical examinations, interrogations, and beatings. On those facts, it was clear that people in Cuban society considered homosexuals to be a discrete and distinct group within the society and that a homosexual in Cuba would have generally understood his or her affiliation with the grouping. The group was therefore particular and socially distinct within the society in question.</w:t>
      </w:r>
    </w:p>
    <w:p w14:paraId="17DFD2B5" w14:textId="77777777"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 xml:space="preserve">In </w:t>
      </w:r>
      <w:r w:rsidRPr="00E53E52">
        <w:rPr>
          <w:rFonts w:ascii="Century Schoolbook" w:hAnsi="Century Schoolbook"/>
          <w:i/>
          <w:iCs/>
        </w:rPr>
        <w:t>Matter of Kasinga</w:t>
      </w:r>
      <w:r w:rsidRPr="00E53E52">
        <w:rPr>
          <w:rFonts w:ascii="Century Schoolbook" w:hAnsi="Century Schoolbook"/>
        </w:rPr>
        <w:t>, [21 I &amp; N Dec. 357 (BIA 1996), the] proposed group of young women of a certain tribe who had not been subjected to FGM and opposed the practice was sufficiently particular because it presented a group that had clear and definable boundaries. The record contained objective evidence regarding the prevalence of FGM in the society in question and the expectation that women of the tribe would undergo FGM. Based on these facts, we found that people in the Tchamba-Kunsuntu Tribe would generally consider women who had not undergone FGM and opposed the practice to be a discrete and distinct group that was set apart in a significant way from the rest of the society. Such women would clearly understand their affiliation with this grouping. Thus, the proposed group was particular and was perceived as socially distinct within the society in question.</w:t>
      </w:r>
    </w:p>
    <w:bookmarkEnd w:id="50"/>
    <w:bookmarkEnd w:id="51"/>
    <w:p w14:paraId="00A33A88" w14:textId="35E53773"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 xml:space="preserve">In </w:t>
      </w:r>
      <w:r w:rsidRPr="00E53E52">
        <w:rPr>
          <w:rFonts w:ascii="Century Schoolbook" w:hAnsi="Century Schoolbook"/>
          <w:i/>
          <w:iCs/>
        </w:rPr>
        <w:t>Matter of Fuentes</w:t>
      </w:r>
      <w:r w:rsidRPr="00E53E52">
        <w:rPr>
          <w:rFonts w:ascii="Century Schoolbook" w:hAnsi="Century Schoolbook"/>
        </w:rPr>
        <w:t xml:space="preserve">, [19 I &amp; N Dec. 658 (BIA 1988),] the fundamental characteristic at issue was also not visible. However, we did not hold that </w:t>
      </w:r>
      <w:r w:rsidR="00C909C4" w:rsidRPr="00E53E52">
        <w:rPr>
          <w:rFonts w:ascii="Century Schoolbook" w:hAnsi="Century Schoolbook"/>
        </w:rPr>
        <w:t>“</w:t>
      </w:r>
      <w:r w:rsidRPr="00E53E52">
        <w:rPr>
          <w:rFonts w:ascii="Century Schoolbook" w:hAnsi="Century Schoolbook"/>
        </w:rPr>
        <w:t>former member[s] of the national police of El Salvador</w:t>
      </w:r>
      <w:r w:rsidR="00C909C4" w:rsidRPr="00E53E52">
        <w:rPr>
          <w:rFonts w:ascii="Century Schoolbook" w:hAnsi="Century Schoolbook"/>
        </w:rPr>
        <w:t>”</w:t>
      </w:r>
      <w:r w:rsidRPr="00E53E52">
        <w:rPr>
          <w:rFonts w:ascii="Century Schoolbook" w:hAnsi="Century Schoolbook"/>
        </w:rPr>
        <w:t xml:space="preserve"> necessarily constituted a viable particular social group. Rather, we merely recognized that the applicant</w:t>
      </w:r>
      <w:r w:rsidR="00C909C4" w:rsidRPr="00E53E52">
        <w:rPr>
          <w:rFonts w:ascii="Century Schoolbook" w:hAnsi="Century Schoolbook"/>
        </w:rPr>
        <w:t>’</w:t>
      </w:r>
      <w:r w:rsidRPr="00E53E52">
        <w:rPr>
          <w:rFonts w:ascii="Century Schoolbook" w:hAnsi="Century Schoolbook"/>
        </w:rPr>
        <w:t xml:space="preserve">s status as a former policeman was an immutable </w:t>
      </w:r>
      <w:r w:rsidRPr="00E53E52">
        <w:rPr>
          <w:rFonts w:ascii="Century Schoolbook" w:hAnsi="Century Schoolbook"/>
        </w:rPr>
        <w:lastRenderedPageBreak/>
        <w:t xml:space="preserve">characteristic because it was beyond his capacity to change, and we noted that it is </w:t>
      </w:r>
      <w:r w:rsidR="00C909C4" w:rsidRPr="00E53E52">
        <w:rPr>
          <w:rFonts w:ascii="Century Schoolbook" w:hAnsi="Century Schoolbook"/>
        </w:rPr>
        <w:t>“</w:t>
      </w:r>
      <w:r w:rsidRPr="00E53E52">
        <w:rPr>
          <w:rFonts w:ascii="Century Schoolbook" w:hAnsi="Century Schoolbook"/>
          <w:i/>
          <w:iCs/>
        </w:rPr>
        <w:t>possible</w:t>
      </w:r>
      <w:r w:rsidRPr="00E53E52">
        <w:rPr>
          <w:rFonts w:ascii="Century Schoolbook" w:hAnsi="Century Schoolbook"/>
        </w:rPr>
        <w:t xml:space="preserve"> that mistreatment occurring because of such a status in appropriate circumstances </w:t>
      </w:r>
      <w:r w:rsidRPr="00E53E52">
        <w:rPr>
          <w:rFonts w:ascii="Century Schoolbook" w:hAnsi="Century Schoolbook"/>
          <w:i/>
          <w:iCs/>
        </w:rPr>
        <w:t>could</w:t>
      </w:r>
      <w:r w:rsidRPr="00E53E52">
        <w:rPr>
          <w:rFonts w:ascii="Century Schoolbook" w:hAnsi="Century Schoolbook"/>
        </w:rPr>
        <w:t xml:space="preserve"> be found to be persecution on account of political opinion or membership in a particular social group.</w:t>
      </w:r>
      <w:r w:rsidR="00C909C4" w:rsidRPr="00E53E52">
        <w:rPr>
          <w:rFonts w:ascii="Century Schoolbook" w:hAnsi="Century Schoolbook"/>
        </w:rPr>
        <w:t>”</w:t>
      </w:r>
      <w:r w:rsidRPr="00E53E52">
        <w:rPr>
          <w:rFonts w:ascii="Century Schoolbook" w:hAnsi="Century Schoolbook"/>
        </w:rPr>
        <w:t xml:space="preserve"> The applicant in </w:t>
      </w:r>
      <w:r w:rsidRPr="00E53E52">
        <w:rPr>
          <w:rFonts w:ascii="Century Schoolbook" w:hAnsi="Century Schoolbook"/>
          <w:i/>
          <w:iCs/>
        </w:rPr>
        <w:t>Fuentes</w:t>
      </w:r>
      <w:r w:rsidRPr="00E53E52">
        <w:rPr>
          <w:rFonts w:ascii="Century Schoolbook" w:hAnsi="Century Schoolbook"/>
        </w:rPr>
        <w:t xml:space="preserve"> presented some evidence of social distinction, because the national police played a high-profile role in combating guerrilla violence, and a witness testified that </w:t>
      </w:r>
      <w:r w:rsidR="00C909C4" w:rsidRPr="00E53E52">
        <w:rPr>
          <w:rFonts w:ascii="Century Schoolbook" w:hAnsi="Century Schoolbook"/>
        </w:rPr>
        <w:t>“</w:t>
      </w:r>
      <w:r w:rsidRPr="00E53E52">
        <w:rPr>
          <w:rFonts w:ascii="Century Schoolbook" w:hAnsi="Century Schoolbook"/>
        </w:rPr>
        <w:t>guerrillas had the names of the people who had been in the service</w:t>
      </w:r>
      <w:r w:rsidR="00C909C4" w:rsidRPr="00E53E52">
        <w:rPr>
          <w:rFonts w:ascii="Century Schoolbook" w:hAnsi="Century Schoolbook"/>
        </w:rPr>
        <w:t>”</w:t>
      </w:r>
      <w:r w:rsidRPr="00E53E52">
        <w:rPr>
          <w:rFonts w:ascii="Century Schoolbook" w:hAnsi="Century Schoolbook"/>
        </w:rPr>
        <w:t xml:space="preserve"> and targeted and killed former service members. However, because we held that the applicant did not show that the harm he feared bore a nexus to his status as a former member of the national police, we did not fully assess the factors that underlie particularity and social distinction. </w:t>
      </w:r>
    </w:p>
    <w:p w14:paraId="11091F8B" w14:textId="1920A14C" w:rsidR="00CB408E" w:rsidRPr="00E53E52" w:rsidRDefault="00CB408E" w:rsidP="0036367F">
      <w:pPr>
        <w:pStyle w:val="BodyText"/>
        <w:widowControl/>
        <w:spacing w:after="120"/>
        <w:ind w:firstLine="720"/>
        <w:rPr>
          <w:rFonts w:ascii="Century Schoolbook" w:hAnsi="Century Schoolbook"/>
        </w:rPr>
      </w:pPr>
      <w:bookmarkStart w:id="52" w:name="sp_999_19"/>
      <w:bookmarkStart w:id="53" w:name="SDU_19"/>
      <w:r w:rsidRPr="00E53E52">
        <w:rPr>
          <w:rFonts w:ascii="Century Schoolbook" w:hAnsi="Century Schoolbook"/>
          <w:i/>
          <w:iCs/>
        </w:rPr>
        <w:t>In Matter of C–A–</w:t>
      </w:r>
      <w:r w:rsidRPr="00E53E52">
        <w:rPr>
          <w:rFonts w:ascii="Century Schoolbook" w:hAnsi="Century Schoolbook"/>
        </w:rPr>
        <w:t xml:space="preserve">, we found that </w:t>
      </w:r>
      <w:r w:rsidR="00C909C4" w:rsidRPr="00E53E52">
        <w:rPr>
          <w:rFonts w:ascii="Century Schoolbook" w:hAnsi="Century Schoolbook"/>
        </w:rPr>
        <w:t>“</w:t>
      </w:r>
      <w:r w:rsidRPr="00E53E52">
        <w:rPr>
          <w:rFonts w:ascii="Century Schoolbook" w:hAnsi="Century Schoolbook"/>
        </w:rPr>
        <w:t>noncriminal drug informants working against the Cali drug cartel</w:t>
      </w:r>
      <w:r w:rsidR="00C909C4" w:rsidRPr="00E53E52">
        <w:rPr>
          <w:rFonts w:ascii="Century Schoolbook" w:hAnsi="Century Schoolbook"/>
        </w:rPr>
        <w:t>”</w:t>
      </w:r>
      <w:r w:rsidRPr="00E53E52">
        <w:rPr>
          <w:rFonts w:ascii="Century Schoolbook" w:hAnsi="Century Schoolbook"/>
        </w:rPr>
        <w:t xml:space="preserve"> in Colombia were not a particular social group, and we emphasized that </w:t>
      </w:r>
      <w:r w:rsidR="00C909C4" w:rsidRPr="00E53E52">
        <w:rPr>
          <w:rFonts w:ascii="Century Schoolbook" w:hAnsi="Century Schoolbook"/>
        </w:rPr>
        <w:t>“</w:t>
      </w:r>
      <w:r w:rsidRPr="00E53E52">
        <w:rPr>
          <w:rFonts w:ascii="Century Schoolbook" w:hAnsi="Century Schoolbook"/>
        </w:rPr>
        <w:t>[s]ocial groups based on innate characteristics such as sex or family relationship are generally easily recognizable and understood by others to constitute social groups.</w:t>
      </w:r>
      <w:r w:rsidR="00C909C4" w:rsidRPr="00E53E52">
        <w:rPr>
          <w:rFonts w:ascii="Century Schoolbook" w:hAnsi="Century Schoolbook"/>
        </w:rPr>
        <w:t>”</w:t>
      </w:r>
      <w:r w:rsidRPr="00E53E52">
        <w:rPr>
          <w:rFonts w:ascii="Century Schoolbook" w:hAnsi="Century Schoolbook"/>
        </w:rPr>
        <w:t xml:space="preserve"> </w:t>
      </w:r>
      <w:r w:rsidRPr="00E53E52">
        <w:rPr>
          <w:rFonts w:ascii="Century Schoolbook" w:hAnsi="Century Schoolbook"/>
          <w:i/>
          <w:iCs/>
        </w:rPr>
        <w:t>Matter of C–A–</w:t>
      </w:r>
      <w:r w:rsidRPr="00E53E52">
        <w:rPr>
          <w:rFonts w:ascii="Century Schoolbook" w:hAnsi="Century Schoolbook"/>
        </w:rPr>
        <w:t xml:space="preserve">, 23 I &amp; N Dec. at 957, 959–60 . * * * To the extent that </w:t>
      </w:r>
      <w:r w:rsidRPr="00E53E52">
        <w:rPr>
          <w:rFonts w:ascii="Century Schoolbook" w:hAnsi="Century Schoolbook"/>
          <w:i/>
          <w:iCs/>
        </w:rPr>
        <w:t>Matter of C–A–</w:t>
      </w:r>
      <w:r w:rsidRPr="00E53E52">
        <w:rPr>
          <w:rFonts w:ascii="Century Schoolbook" w:hAnsi="Century Schoolbook"/>
        </w:rPr>
        <w:t xml:space="preserve"> has been </w:t>
      </w:r>
      <w:bookmarkStart w:id="54" w:name="sp_1650_247"/>
      <w:bookmarkStart w:id="55" w:name="SDU_247"/>
      <w:bookmarkEnd w:id="54"/>
      <w:bookmarkEnd w:id="55"/>
      <w:r w:rsidRPr="00E53E52">
        <w:rPr>
          <w:rFonts w:ascii="Century Schoolbook" w:hAnsi="Century Schoolbook"/>
        </w:rPr>
        <w:t xml:space="preserve">interpreted as requiring literal or </w:t>
      </w:r>
      <w:r w:rsidR="00C909C4" w:rsidRPr="00E53E52">
        <w:rPr>
          <w:rFonts w:ascii="Century Schoolbook" w:hAnsi="Century Schoolbook"/>
        </w:rPr>
        <w:t>“</w:t>
      </w:r>
      <w:r w:rsidRPr="00E53E52">
        <w:rPr>
          <w:rFonts w:ascii="Century Schoolbook" w:hAnsi="Century Schoolbook"/>
        </w:rPr>
        <w:t>ocular</w:t>
      </w:r>
      <w:r w:rsidR="00C909C4" w:rsidRPr="00E53E52">
        <w:rPr>
          <w:rFonts w:ascii="Century Schoolbook" w:hAnsi="Century Schoolbook"/>
        </w:rPr>
        <w:t>”</w:t>
      </w:r>
      <w:r w:rsidRPr="00E53E52">
        <w:rPr>
          <w:rFonts w:ascii="Century Schoolbook" w:hAnsi="Century Schoolbook"/>
        </w:rPr>
        <w:t xml:space="preserve"> visibility, we now clarify that it does not.</w:t>
      </w:r>
    </w:p>
    <w:p w14:paraId="260BCA73" w14:textId="77777777" w:rsidR="00CB408E" w:rsidRPr="00E53E52" w:rsidRDefault="00CB408E" w:rsidP="00C61D06">
      <w:pPr>
        <w:spacing w:after="0"/>
        <w:jc w:val="center"/>
        <w:rPr>
          <w:rFonts w:ascii="Century Schoolbook" w:hAnsi="Century Schoolbook"/>
        </w:rPr>
      </w:pPr>
      <w:r w:rsidRPr="00E53E52">
        <w:rPr>
          <w:rFonts w:ascii="Century Schoolbook" w:hAnsi="Century Schoolbook"/>
        </w:rPr>
        <w:t>* * *</w:t>
      </w:r>
    </w:p>
    <w:bookmarkEnd w:id="52"/>
    <w:bookmarkEnd w:id="53"/>
    <w:p w14:paraId="2D627089" w14:textId="77777777" w:rsidR="00CB408E" w:rsidRPr="00E53E52" w:rsidRDefault="00CB408E" w:rsidP="001D1D6E">
      <w:pPr>
        <w:spacing w:after="120"/>
        <w:jc w:val="center"/>
        <w:outlineLvl w:val="0"/>
        <w:rPr>
          <w:rFonts w:ascii="Century Schoolbook" w:hAnsi="Century Schoolbook"/>
        </w:rPr>
      </w:pPr>
      <w:r w:rsidRPr="00E53E52">
        <w:rPr>
          <w:rFonts w:ascii="Century Schoolbook" w:hAnsi="Century Schoolbook"/>
        </w:rPr>
        <w:t>E. International Interpretations</w:t>
      </w:r>
    </w:p>
    <w:p w14:paraId="3484164B" w14:textId="7E5E7355" w:rsidR="00CB408E" w:rsidRPr="00E53E52" w:rsidRDefault="00CB408E" w:rsidP="0036367F">
      <w:pPr>
        <w:pStyle w:val="BodyText"/>
        <w:widowControl/>
        <w:spacing w:after="120"/>
        <w:ind w:firstLine="720"/>
        <w:rPr>
          <w:rFonts w:ascii="Century Schoolbook" w:hAnsi="Century Schoolbook"/>
        </w:rPr>
      </w:pPr>
      <w:bookmarkStart w:id="56" w:name="sp_999_20"/>
      <w:bookmarkStart w:id="57" w:name="SDU_20"/>
      <w:r w:rsidRPr="00E53E52">
        <w:rPr>
          <w:rFonts w:ascii="Century Schoolbook" w:hAnsi="Century Schoolbook"/>
        </w:rPr>
        <w:t xml:space="preserve">Although the statutory terms </w:t>
      </w:r>
      <w:r w:rsidR="00C909C4" w:rsidRPr="00E53E52">
        <w:rPr>
          <w:rFonts w:ascii="Century Schoolbook" w:hAnsi="Century Schoolbook"/>
        </w:rPr>
        <w:t>“</w:t>
      </w:r>
      <w:r w:rsidRPr="00E53E52">
        <w:rPr>
          <w:rFonts w:ascii="Century Schoolbook" w:hAnsi="Century Schoolbook"/>
        </w:rPr>
        <w:t>refugee</w:t>
      </w:r>
      <w:r w:rsidR="00C909C4" w:rsidRPr="00E53E52">
        <w:rPr>
          <w:rFonts w:ascii="Century Schoolbook" w:hAnsi="Century Schoolbook"/>
        </w:rPr>
        <w:t>”</w:t>
      </w:r>
      <w:r w:rsidRPr="00E53E52">
        <w:rPr>
          <w:rFonts w:ascii="Century Schoolbook" w:hAnsi="Century Schoolbook"/>
        </w:rPr>
        <w:t xml:space="preserve"> and </w:t>
      </w:r>
      <w:r w:rsidR="00C909C4" w:rsidRPr="00E53E52">
        <w:rPr>
          <w:rFonts w:ascii="Century Schoolbook" w:hAnsi="Century Schoolbook"/>
        </w:rPr>
        <w:t>“</w:t>
      </w:r>
      <w:r w:rsidRPr="00E53E52">
        <w:rPr>
          <w:rFonts w:ascii="Century Schoolbook" w:hAnsi="Century Schoolbook"/>
        </w:rPr>
        <w:t>particular social group</w:t>
      </w:r>
      <w:r w:rsidR="00C909C4" w:rsidRPr="00E53E52">
        <w:rPr>
          <w:rFonts w:ascii="Century Schoolbook" w:hAnsi="Century Schoolbook"/>
        </w:rPr>
        <w:t>”</w:t>
      </w:r>
      <w:r w:rsidRPr="00E53E52">
        <w:rPr>
          <w:rFonts w:ascii="Century Schoolbook" w:hAnsi="Century Schoolbook"/>
        </w:rPr>
        <w:t xml:space="preserve"> occur against the backdrop of the Protocol and the Convention, </w:t>
      </w:r>
      <w:bookmarkStart w:id="58" w:name="sp_1650_248"/>
      <w:bookmarkStart w:id="59" w:name="SDU_248"/>
      <w:bookmarkEnd w:id="58"/>
      <w:bookmarkEnd w:id="59"/>
      <w:r w:rsidRPr="00E53E52">
        <w:rPr>
          <w:rFonts w:ascii="Century Schoolbook" w:hAnsi="Century Schoolbook"/>
        </w:rPr>
        <w:t xml:space="preserve">international interpretations of those terms are not controlling here. </w:t>
      </w:r>
    </w:p>
    <w:p w14:paraId="4A580743" w14:textId="455BA86C"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 xml:space="preserve">We recognize that our interpretation of the ambiguous phrase </w:t>
      </w:r>
      <w:r w:rsidR="00C909C4" w:rsidRPr="00E53E52">
        <w:rPr>
          <w:rFonts w:ascii="Century Schoolbook" w:hAnsi="Century Schoolbook"/>
        </w:rPr>
        <w:t>“</w:t>
      </w:r>
      <w:r w:rsidRPr="00E53E52">
        <w:rPr>
          <w:rFonts w:ascii="Century Schoolbook" w:hAnsi="Century Schoolbook"/>
        </w:rPr>
        <w:t>particular social group</w:t>
      </w:r>
      <w:r w:rsidR="00C909C4" w:rsidRPr="00E53E52">
        <w:rPr>
          <w:rFonts w:ascii="Century Schoolbook" w:hAnsi="Century Schoolbook"/>
        </w:rPr>
        <w:t>”</w:t>
      </w:r>
      <w:r w:rsidRPr="00E53E52">
        <w:rPr>
          <w:rFonts w:ascii="Century Schoolbook" w:hAnsi="Century Schoolbook"/>
        </w:rPr>
        <w:t xml:space="preserve"> differs from the approach set forth in the UNHCR</w:t>
      </w:r>
      <w:r w:rsidR="00C909C4" w:rsidRPr="00E53E52">
        <w:rPr>
          <w:rFonts w:ascii="Century Schoolbook" w:hAnsi="Century Schoolbook"/>
        </w:rPr>
        <w:t>’</w:t>
      </w:r>
      <w:r w:rsidRPr="00E53E52">
        <w:rPr>
          <w:rFonts w:ascii="Century Schoolbook" w:hAnsi="Century Schoolbook"/>
        </w:rPr>
        <w:t xml:space="preserve">s social group guidelines, which sought to reconcile two international interpretations that had developed over the years. The UNHCR advocates an alternative approach, which permits an individual to establish a particular social group based on </w:t>
      </w:r>
      <w:r w:rsidR="00C909C4" w:rsidRPr="00E53E52">
        <w:rPr>
          <w:rFonts w:ascii="Century Schoolbook" w:hAnsi="Century Schoolbook"/>
        </w:rPr>
        <w:t>“</w:t>
      </w:r>
      <w:r w:rsidRPr="00E53E52">
        <w:rPr>
          <w:rFonts w:ascii="Century Schoolbook" w:hAnsi="Century Schoolbook"/>
        </w:rPr>
        <w:t>protected characteristics</w:t>
      </w:r>
      <w:r w:rsidR="00C909C4" w:rsidRPr="00E53E52">
        <w:rPr>
          <w:rFonts w:ascii="Century Schoolbook" w:hAnsi="Century Schoolbook"/>
        </w:rPr>
        <w:t>”</w:t>
      </w:r>
      <w:r w:rsidRPr="00E53E52">
        <w:rPr>
          <w:rFonts w:ascii="Century Schoolbook" w:hAnsi="Century Schoolbook"/>
        </w:rPr>
        <w:t xml:space="preserve"> or </w:t>
      </w:r>
      <w:r w:rsidR="00C909C4" w:rsidRPr="00E53E52">
        <w:rPr>
          <w:rFonts w:ascii="Century Schoolbook" w:hAnsi="Century Schoolbook"/>
        </w:rPr>
        <w:t>“</w:t>
      </w:r>
      <w:r w:rsidRPr="00E53E52">
        <w:rPr>
          <w:rFonts w:ascii="Century Schoolbook" w:hAnsi="Century Schoolbook"/>
        </w:rPr>
        <w:t>social perception</w:t>
      </w:r>
      <w:r w:rsidR="00C909C4" w:rsidRPr="00E53E52">
        <w:rPr>
          <w:rFonts w:ascii="Century Schoolbook" w:hAnsi="Century Schoolbook"/>
        </w:rPr>
        <w:t>”</w:t>
      </w:r>
      <w:r w:rsidRPr="00E53E52">
        <w:rPr>
          <w:rFonts w:ascii="Century Schoolbook" w:hAnsi="Century Schoolbook"/>
        </w:rPr>
        <w:t xml:space="preserve"> but does not require both. However, the European Union adopted a </w:t>
      </w:r>
      <w:r w:rsidR="00C909C4" w:rsidRPr="00E53E52">
        <w:rPr>
          <w:rFonts w:ascii="Century Schoolbook" w:hAnsi="Century Schoolbook"/>
        </w:rPr>
        <w:t>“</w:t>
      </w:r>
      <w:r w:rsidRPr="00E53E52">
        <w:rPr>
          <w:rFonts w:ascii="Century Schoolbook" w:hAnsi="Century Schoolbook"/>
        </w:rPr>
        <w:t>particular social group</w:t>
      </w:r>
      <w:r w:rsidR="00C909C4" w:rsidRPr="00E53E52">
        <w:rPr>
          <w:rFonts w:ascii="Century Schoolbook" w:hAnsi="Century Schoolbook"/>
        </w:rPr>
        <w:t>”</w:t>
      </w:r>
      <w:r w:rsidRPr="00E53E52">
        <w:rPr>
          <w:rFonts w:ascii="Century Schoolbook" w:hAnsi="Century Schoolbook"/>
        </w:rPr>
        <w:t xml:space="preserve"> definition that departs from the UNHCR Guidelines by requiring a social group to have both an immutable/fundamental characteristic and social perception.</w:t>
      </w:r>
      <w:r w:rsidRPr="00E53E52">
        <w:rPr>
          <w:rStyle w:val="FootnoteReference"/>
          <w:rFonts w:ascii="Century Schoolbook" w:hAnsi="Century Schoolbook"/>
        </w:rPr>
        <w:footnoteReference w:id="5"/>
      </w:r>
      <w:r w:rsidRPr="00E53E52">
        <w:rPr>
          <w:rFonts w:ascii="Century Schoolbook" w:hAnsi="Century Schoolbook"/>
        </w:rPr>
        <w:t xml:space="preserve"> </w:t>
      </w:r>
    </w:p>
    <w:p w14:paraId="2E1B6687" w14:textId="6B7569B9"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lastRenderedPageBreak/>
        <w:t xml:space="preserve">While the views of the UNHCR are a useful interpretative aid, they are </w:t>
      </w:r>
      <w:r w:rsidR="00C909C4" w:rsidRPr="00E53E52">
        <w:rPr>
          <w:rFonts w:ascii="Century Schoolbook" w:hAnsi="Century Schoolbook"/>
        </w:rPr>
        <w:t>“</w:t>
      </w:r>
      <w:r w:rsidRPr="00E53E52">
        <w:rPr>
          <w:rFonts w:ascii="Century Schoolbook" w:hAnsi="Century Schoolbook"/>
        </w:rPr>
        <w:t>not binding on the Attorney General, the BIA, or United States courts.</w:t>
      </w:r>
      <w:r w:rsidR="00C909C4" w:rsidRPr="00E53E52">
        <w:rPr>
          <w:rFonts w:ascii="Century Schoolbook" w:hAnsi="Century Schoolbook"/>
        </w:rPr>
        <w:t>”</w:t>
      </w:r>
      <w:r w:rsidRPr="00E53E52">
        <w:rPr>
          <w:rFonts w:ascii="Century Schoolbook" w:hAnsi="Century Schoolbook"/>
        </w:rPr>
        <w:t xml:space="preserve"> </w:t>
      </w:r>
      <w:r w:rsidRPr="00E53E52">
        <w:rPr>
          <w:rFonts w:ascii="Century Schoolbook" w:hAnsi="Century Schoolbook"/>
          <w:i/>
          <w:iCs/>
        </w:rPr>
        <w:t>INS v. Aguirre-Aguirre</w:t>
      </w:r>
      <w:r w:rsidRPr="00E53E52">
        <w:rPr>
          <w:rFonts w:ascii="Century Schoolbook" w:hAnsi="Century Schoolbook"/>
        </w:rPr>
        <w:t xml:space="preserve">, 526 U.S. at 427. * * * </w:t>
      </w:r>
    </w:p>
    <w:p w14:paraId="6C390848" w14:textId="0143C17C"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 xml:space="preserve">We believe that our interpretation in </w:t>
      </w:r>
      <w:r w:rsidRPr="00E53E52">
        <w:rPr>
          <w:rFonts w:ascii="Century Schoolbook" w:hAnsi="Century Schoolbook"/>
          <w:i/>
          <w:iCs/>
        </w:rPr>
        <w:t>Matter of S–E–G–</w:t>
      </w:r>
      <w:r w:rsidRPr="00E53E52">
        <w:rPr>
          <w:rFonts w:ascii="Century Schoolbook" w:hAnsi="Century Schoolbook"/>
        </w:rPr>
        <w:t xml:space="preserve"> and </w:t>
      </w:r>
      <w:r w:rsidRPr="00E53E52">
        <w:rPr>
          <w:rFonts w:ascii="Century Schoolbook" w:hAnsi="Century Schoolbook"/>
          <w:i/>
          <w:iCs/>
        </w:rPr>
        <w:t>Matter of E–A–G–</w:t>
      </w:r>
      <w:r w:rsidRPr="00E53E52">
        <w:rPr>
          <w:rFonts w:ascii="Century Schoolbook" w:hAnsi="Century Schoolbook"/>
        </w:rPr>
        <w:t>, as clarified, more accurately captures the concepts underlying the United States</w:t>
      </w:r>
      <w:r w:rsidR="00C909C4" w:rsidRPr="00E53E52">
        <w:rPr>
          <w:rFonts w:ascii="Century Schoolbook" w:hAnsi="Century Schoolbook"/>
        </w:rPr>
        <w:t>’</w:t>
      </w:r>
      <w:r w:rsidRPr="00E53E52">
        <w:rPr>
          <w:rFonts w:ascii="Century Schoolbook" w:hAnsi="Century Schoolbook"/>
        </w:rPr>
        <w:t xml:space="preserve"> obligations under the Protocol and will ensure greater </w:t>
      </w:r>
      <w:bookmarkStart w:id="60" w:name="sp_1650_249"/>
      <w:bookmarkStart w:id="61" w:name="SDU_249"/>
      <w:bookmarkEnd w:id="60"/>
      <w:bookmarkEnd w:id="61"/>
      <w:r w:rsidRPr="00E53E52">
        <w:rPr>
          <w:rFonts w:ascii="Century Schoolbook" w:hAnsi="Century Schoolbook"/>
        </w:rPr>
        <w:t xml:space="preserve">consistency in the adjudication of asylum claims under the Act. </w:t>
      </w:r>
      <w:r w:rsidRPr="00E53E52">
        <w:rPr>
          <w:rFonts w:ascii="Century Schoolbook" w:hAnsi="Century Schoolbook"/>
          <w:i/>
          <w:iCs/>
        </w:rPr>
        <w:t>See Nat</w:t>
      </w:r>
      <w:r w:rsidR="00C909C4" w:rsidRPr="00E53E52">
        <w:rPr>
          <w:rFonts w:ascii="Century Schoolbook" w:hAnsi="Century Schoolbook"/>
          <w:i/>
          <w:iCs/>
        </w:rPr>
        <w:t>’</w:t>
      </w:r>
      <w:r w:rsidRPr="00E53E52">
        <w:rPr>
          <w:rFonts w:ascii="Century Schoolbook" w:hAnsi="Century Schoolbook"/>
          <w:i/>
          <w:iCs/>
        </w:rPr>
        <w:t>l Cable &amp; Telecomms. Ass</w:t>
      </w:r>
      <w:r w:rsidR="00C909C4" w:rsidRPr="00E53E52">
        <w:rPr>
          <w:rFonts w:ascii="Century Schoolbook" w:hAnsi="Century Schoolbook"/>
          <w:i/>
          <w:iCs/>
        </w:rPr>
        <w:t>’</w:t>
      </w:r>
      <w:r w:rsidRPr="00E53E52">
        <w:rPr>
          <w:rFonts w:ascii="Century Schoolbook" w:hAnsi="Century Schoolbook"/>
          <w:i/>
          <w:iCs/>
        </w:rPr>
        <w:t>n v. Brand X Internet Servs.</w:t>
      </w:r>
      <w:r w:rsidRPr="00E53E52">
        <w:rPr>
          <w:rFonts w:ascii="Century Schoolbook" w:hAnsi="Century Schoolbook"/>
        </w:rPr>
        <w:t xml:space="preserve">, 545 U.S. 967; </w:t>
      </w:r>
      <w:r w:rsidRPr="00E53E52">
        <w:rPr>
          <w:rFonts w:ascii="Century Schoolbook" w:hAnsi="Century Schoolbook"/>
          <w:i/>
          <w:iCs/>
        </w:rPr>
        <w:t>Chevron, U.S.A., Inc. v. Natural Res. Def. Council, Inc.</w:t>
      </w:r>
      <w:r w:rsidRPr="00E53E52">
        <w:rPr>
          <w:rFonts w:ascii="Century Schoolbook" w:hAnsi="Century Schoolbook"/>
        </w:rPr>
        <w:t>, 467 U.S. 837. Unlike the UNHCR</w:t>
      </w:r>
      <w:r w:rsidR="00C909C4" w:rsidRPr="00E53E52">
        <w:rPr>
          <w:rFonts w:ascii="Century Schoolbook" w:hAnsi="Century Schoolbook"/>
        </w:rPr>
        <w:t>’</w:t>
      </w:r>
      <w:r w:rsidRPr="00E53E52">
        <w:rPr>
          <w:rFonts w:ascii="Century Schoolbook" w:hAnsi="Century Schoolbook"/>
        </w:rPr>
        <w:t xml:space="preserve">s alternative approach, we conclude that a particular social group must satisfy both the </w:t>
      </w:r>
      <w:r w:rsidR="00C909C4" w:rsidRPr="00E53E52">
        <w:rPr>
          <w:rFonts w:ascii="Century Schoolbook" w:hAnsi="Century Schoolbook"/>
        </w:rPr>
        <w:t>“</w:t>
      </w:r>
      <w:r w:rsidRPr="00E53E52">
        <w:rPr>
          <w:rFonts w:ascii="Century Schoolbook" w:hAnsi="Century Schoolbook"/>
        </w:rPr>
        <w:t>protected characteristic</w:t>
      </w:r>
      <w:r w:rsidR="00C909C4" w:rsidRPr="00E53E52">
        <w:rPr>
          <w:rFonts w:ascii="Century Schoolbook" w:hAnsi="Century Schoolbook"/>
        </w:rPr>
        <w:t>”</w:t>
      </w:r>
      <w:r w:rsidRPr="00E53E52">
        <w:rPr>
          <w:rFonts w:ascii="Century Schoolbook" w:hAnsi="Century Schoolbook"/>
        </w:rPr>
        <w:t xml:space="preserve"> and </w:t>
      </w:r>
      <w:r w:rsidR="00C909C4" w:rsidRPr="00E53E52">
        <w:rPr>
          <w:rFonts w:ascii="Century Schoolbook" w:hAnsi="Century Schoolbook"/>
        </w:rPr>
        <w:t>“</w:t>
      </w:r>
      <w:r w:rsidRPr="00E53E52">
        <w:rPr>
          <w:rFonts w:ascii="Century Schoolbook" w:hAnsi="Century Schoolbook"/>
        </w:rPr>
        <w:t>social perception</w:t>
      </w:r>
      <w:r w:rsidR="00C909C4" w:rsidRPr="00E53E52">
        <w:rPr>
          <w:rFonts w:ascii="Century Schoolbook" w:hAnsi="Century Schoolbook"/>
        </w:rPr>
        <w:t>”</w:t>
      </w:r>
      <w:r w:rsidRPr="00E53E52">
        <w:rPr>
          <w:rFonts w:ascii="Century Schoolbook" w:hAnsi="Century Schoolbook"/>
        </w:rPr>
        <w:t xml:space="preserve"> approaches, in addition to the particularity requirement, as described above.</w:t>
      </w:r>
    </w:p>
    <w:p w14:paraId="62FF97AF" w14:textId="77777777" w:rsidR="00CB408E" w:rsidRPr="00E53E52" w:rsidRDefault="00CB408E" w:rsidP="001D1D6E">
      <w:pPr>
        <w:spacing w:after="120"/>
        <w:jc w:val="center"/>
        <w:outlineLvl w:val="0"/>
        <w:rPr>
          <w:rFonts w:ascii="Century Schoolbook" w:hAnsi="Century Schoolbook"/>
        </w:rPr>
      </w:pPr>
      <w:r w:rsidRPr="00E53E52">
        <w:rPr>
          <w:rFonts w:ascii="Century Schoolbook" w:hAnsi="Century Schoolbook"/>
        </w:rPr>
        <w:t>V. APPLICATION TO THE RESPONDENT</w:t>
      </w:r>
    </w:p>
    <w:bookmarkEnd w:id="56"/>
    <w:bookmarkEnd w:id="57"/>
    <w:p w14:paraId="026AF336" w14:textId="6D4FED68"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In our prior decision in this case, we rejected the respondent</w:t>
      </w:r>
      <w:r w:rsidR="00C909C4" w:rsidRPr="00E53E52">
        <w:rPr>
          <w:rFonts w:ascii="Century Schoolbook" w:hAnsi="Century Schoolbook"/>
        </w:rPr>
        <w:t>’</w:t>
      </w:r>
      <w:r w:rsidRPr="00E53E52">
        <w:rPr>
          <w:rFonts w:ascii="Century Schoolbook" w:hAnsi="Century Schoolbook"/>
        </w:rPr>
        <w:t xml:space="preserve">s gang-related claim based on the reasoning set forth in </w:t>
      </w:r>
      <w:r w:rsidRPr="00E53E52">
        <w:rPr>
          <w:rFonts w:ascii="Century Schoolbook" w:hAnsi="Century Schoolbook"/>
          <w:i/>
          <w:iCs/>
        </w:rPr>
        <w:t>Matter of S–E–G–</w:t>
      </w:r>
      <w:r w:rsidRPr="00E53E52">
        <w:rPr>
          <w:rFonts w:ascii="Century Schoolbook" w:hAnsi="Century Schoolbook"/>
        </w:rPr>
        <w:t xml:space="preserve"> and </w:t>
      </w:r>
      <w:r w:rsidRPr="00E53E52">
        <w:rPr>
          <w:rFonts w:ascii="Century Schoolbook" w:hAnsi="Century Schoolbook"/>
          <w:i/>
          <w:iCs/>
        </w:rPr>
        <w:t>Matter of E–A–G–</w:t>
      </w:r>
      <w:r w:rsidRPr="00E53E52">
        <w:rPr>
          <w:rFonts w:ascii="Century Schoolbook" w:hAnsi="Century Schoolbook"/>
        </w:rPr>
        <w:t xml:space="preserve">. * * * </w:t>
      </w:r>
      <w:r w:rsidRPr="00E53E52">
        <w:rPr>
          <w:rStyle w:val="FootnoteReference"/>
          <w:rFonts w:ascii="Century Schoolbook" w:hAnsi="Century Schoolbook"/>
        </w:rPr>
        <w:footnoteReference w:id="6"/>
      </w:r>
      <w:r w:rsidRPr="00E53E52">
        <w:rPr>
          <w:rFonts w:ascii="Century Schoolbook" w:hAnsi="Century Schoolbook"/>
        </w:rPr>
        <w:t xml:space="preserve"> </w:t>
      </w:r>
      <w:bookmarkStart w:id="62" w:name="FN[FN16]"/>
      <w:bookmarkStart w:id="63" w:name="FN_B16"/>
      <w:bookmarkEnd w:id="62"/>
      <w:bookmarkEnd w:id="63"/>
    </w:p>
    <w:p w14:paraId="5C0121E7" w14:textId="77777777" w:rsidR="00CB408E" w:rsidRPr="00E53E52" w:rsidRDefault="00CB408E" w:rsidP="00C61D06">
      <w:pPr>
        <w:spacing w:after="0"/>
        <w:jc w:val="center"/>
        <w:rPr>
          <w:rFonts w:ascii="Century Schoolbook" w:hAnsi="Century Schoolbook"/>
        </w:rPr>
      </w:pPr>
      <w:bookmarkStart w:id="64" w:name="sp_999_21"/>
      <w:bookmarkStart w:id="65" w:name="SDU_21"/>
      <w:r w:rsidRPr="00E53E52">
        <w:rPr>
          <w:rFonts w:ascii="Century Schoolbook" w:hAnsi="Century Schoolbook"/>
        </w:rPr>
        <w:t>* * *</w:t>
      </w:r>
    </w:p>
    <w:bookmarkEnd w:id="64"/>
    <w:bookmarkEnd w:id="65"/>
    <w:p w14:paraId="327E791B" w14:textId="5795B786"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Against the backdrop of widespread gang violence affecting vast segments of the country</w:t>
      </w:r>
      <w:r w:rsidR="00C909C4" w:rsidRPr="00E53E52">
        <w:rPr>
          <w:rFonts w:ascii="Century Schoolbook" w:hAnsi="Century Schoolbook"/>
        </w:rPr>
        <w:t>’</w:t>
      </w:r>
      <w:r w:rsidRPr="00E53E52">
        <w:rPr>
          <w:rFonts w:ascii="Century Schoolbook" w:hAnsi="Century Schoolbook"/>
        </w:rPr>
        <w:t xml:space="preserve">s population [in El Salvador], the applicant in </w:t>
      </w:r>
      <w:r w:rsidRPr="00E53E52">
        <w:rPr>
          <w:rFonts w:ascii="Century Schoolbook" w:hAnsi="Century Schoolbook"/>
          <w:i/>
          <w:iCs/>
        </w:rPr>
        <w:t>Matter of S–E–G–</w:t>
      </w:r>
      <w:r w:rsidRPr="00E53E52">
        <w:rPr>
          <w:rFonts w:ascii="Century Schoolbook" w:hAnsi="Century Schoolbook"/>
        </w:rPr>
        <w:t xml:space="preserve"> could not establish that he had been targeted on a protected basis. Although he was subjected to one of the many different criminal activities that the gang used to sustain its criminal enterprise, he did not demonstrate that he was more likely to be persecuted by the gang on account of a protected ground than was any other member of the society. </w:t>
      </w:r>
    </w:p>
    <w:p w14:paraId="38F8D7A7" w14:textId="2E8BCB11" w:rsidR="00CB408E" w:rsidRPr="00E53E52" w:rsidRDefault="00CB408E" w:rsidP="0036367F">
      <w:pPr>
        <w:pStyle w:val="BodyText"/>
        <w:widowControl/>
        <w:spacing w:after="120"/>
        <w:ind w:firstLine="720"/>
        <w:rPr>
          <w:rFonts w:ascii="Century Schoolbook" w:hAnsi="Century Schoolbook"/>
        </w:rPr>
      </w:pPr>
      <w:bookmarkStart w:id="66" w:name="sp_999_22"/>
      <w:bookmarkStart w:id="67" w:name="SDU_22"/>
      <w:r w:rsidRPr="00E53E52">
        <w:rPr>
          <w:rFonts w:ascii="Century Schoolbook" w:hAnsi="Century Schoolbook"/>
        </w:rPr>
        <w:t xml:space="preserve">The prevalence of gang violence in many countries is a large societal problem. The gangs may target one segment of the population for recruitment, another for extortion, and yet others for kidnapping, trafficking in drugs and people, and other crimes. Although certain segments of a population may be more susceptible to one type of criminal activity than </w:t>
      </w:r>
      <w:bookmarkStart w:id="68" w:name="sp_1650_251"/>
      <w:bookmarkStart w:id="69" w:name="SDU_251"/>
      <w:bookmarkEnd w:id="68"/>
      <w:bookmarkEnd w:id="69"/>
      <w:r w:rsidRPr="00E53E52">
        <w:rPr>
          <w:rFonts w:ascii="Century Schoolbook" w:hAnsi="Century Schoolbook"/>
        </w:rPr>
        <w:t>another, the residents all generally suffer from the gang</w:t>
      </w:r>
      <w:r w:rsidR="00C909C4" w:rsidRPr="00E53E52">
        <w:rPr>
          <w:rFonts w:ascii="Century Schoolbook" w:hAnsi="Century Schoolbook"/>
        </w:rPr>
        <w:t>’</w:t>
      </w:r>
      <w:r w:rsidRPr="00E53E52">
        <w:rPr>
          <w:rFonts w:ascii="Century Schoolbook" w:hAnsi="Century Schoolbook"/>
        </w:rPr>
        <w:t>s criminal efforts to sustain its enterprise in the area. A national community may struggle with significant societal problems resulting from gangs, but not all societal problems are bases for asylum. * * *</w:t>
      </w:r>
    </w:p>
    <w:bookmarkEnd w:id="66"/>
    <w:bookmarkEnd w:id="67"/>
    <w:p w14:paraId="3D75E926" w14:textId="77777777" w:rsidR="00CB408E" w:rsidRPr="00E53E52" w:rsidRDefault="00CB408E" w:rsidP="0036367F">
      <w:pPr>
        <w:pStyle w:val="BodyText"/>
        <w:widowControl/>
        <w:spacing w:after="120"/>
        <w:ind w:firstLine="720"/>
        <w:rPr>
          <w:rFonts w:ascii="Century Schoolbook" w:hAnsi="Century Schoolbook"/>
        </w:rPr>
      </w:pPr>
      <w:r w:rsidRPr="00E53E52">
        <w:rPr>
          <w:rFonts w:ascii="Century Schoolbook" w:hAnsi="Century Schoolbook"/>
        </w:rPr>
        <w:t xml:space="preserve">Nevertheless, we emphasize that our holdings in </w:t>
      </w:r>
      <w:r w:rsidRPr="00E53E52">
        <w:rPr>
          <w:rFonts w:ascii="Century Schoolbook" w:hAnsi="Century Schoolbook"/>
          <w:i/>
          <w:iCs/>
        </w:rPr>
        <w:t>Matter of S–E–G–</w:t>
      </w:r>
      <w:r w:rsidRPr="00E53E52">
        <w:rPr>
          <w:rFonts w:ascii="Century Schoolbook" w:hAnsi="Century Schoolbook"/>
        </w:rPr>
        <w:t xml:space="preserve"> and </w:t>
      </w:r>
      <w:r w:rsidRPr="00E53E52">
        <w:rPr>
          <w:rFonts w:ascii="Century Schoolbook" w:hAnsi="Century Schoolbook"/>
          <w:i/>
          <w:iCs/>
        </w:rPr>
        <w:t>Matter of E–A–G–</w:t>
      </w:r>
      <w:r w:rsidRPr="00E53E52">
        <w:rPr>
          <w:rFonts w:ascii="Century Schoolbook" w:hAnsi="Century Schoolbook"/>
        </w:rPr>
        <w:t xml:space="preserve"> should not be read as a blanket rejection of all factual scenarios involving gangs. Social group determinations are made on a case-by-case basis. For example, a factual scenario in which gangs are targeting homosexuals may support a particular social group claim. While persecution on account of a protected ground cannot be inferred merely from acts of random violence and the existence of civil strife, it is clear that persecution on account of a protected </w:t>
      </w:r>
      <w:r w:rsidRPr="00E53E52">
        <w:rPr>
          <w:rFonts w:ascii="Century Schoolbook" w:hAnsi="Century Schoolbook"/>
        </w:rPr>
        <w:lastRenderedPageBreak/>
        <w:t xml:space="preserve">ground may occur during periods of civil strife if the victim is targeted on account of a protected ground. </w:t>
      </w:r>
    </w:p>
    <w:p w14:paraId="6F7E3B95" w14:textId="77777777" w:rsidR="00CB408E" w:rsidRPr="00E53E52" w:rsidRDefault="00CB408E" w:rsidP="001D1D6E">
      <w:pPr>
        <w:spacing w:after="120"/>
        <w:jc w:val="center"/>
        <w:outlineLvl w:val="0"/>
        <w:rPr>
          <w:rFonts w:ascii="Century Schoolbook" w:hAnsi="Century Schoolbook"/>
        </w:rPr>
      </w:pPr>
      <w:r w:rsidRPr="00E53E52">
        <w:rPr>
          <w:rFonts w:ascii="Century Schoolbook" w:hAnsi="Century Schoolbook"/>
        </w:rPr>
        <w:t>VI. CONCLUSION</w:t>
      </w:r>
    </w:p>
    <w:p w14:paraId="58C0A8BB" w14:textId="03A26AEF" w:rsidR="00CB408E" w:rsidRPr="00E53E52" w:rsidRDefault="00CB408E" w:rsidP="0036367F">
      <w:pPr>
        <w:pStyle w:val="BodyText"/>
        <w:widowControl/>
        <w:spacing w:after="120"/>
        <w:ind w:firstLine="720"/>
        <w:rPr>
          <w:rFonts w:ascii="Century Schoolbook" w:hAnsi="Century Schoolbook"/>
        </w:rPr>
      </w:pPr>
      <w:bookmarkStart w:id="70" w:name="sp_999_23"/>
      <w:bookmarkStart w:id="71" w:name="SDU_23"/>
      <w:r w:rsidRPr="00E53E52">
        <w:rPr>
          <w:rFonts w:ascii="Century Schoolbook" w:hAnsi="Century Schoolbook"/>
        </w:rPr>
        <w:t xml:space="preserve">We interpret the </w:t>
      </w:r>
      <w:r w:rsidR="00C909C4" w:rsidRPr="00E53E52">
        <w:rPr>
          <w:rFonts w:ascii="Century Schoolbook" w:hAnsi="Century Schoolbook"/>
        </w:rPr>
        <w:t>“</w:t>
      </w:r>
      <w:r w:rsidRPr="00E53E52">
        <w:rPr>
          <w:rFonts w:ascii="Century Schoolbook" w:hAnsi="Century Schoolbook"/>
        </w:rPr>
        <w:t>particular social group</w:t>
      </w:r>
      <w:r w:rsidR="00C909C4" w:rsidRPr="00E53E52">
        <w:rPr>
          <w:rFonts w:ascii="Century Schoolbook" w:hAnsi="Century Schoolbook"/>
        </w:rPr>
        <w:t>”</w:t>
      </w:r>
      <w:r w:rsidRPr="00E53E52">
        <w:rPr>
          <w:rFonts w:ascii="Century Schoolbook" w:hAnsi="Century Schoolbook"/>
        </w:rPr>
        <w:t xml:space="preserve"> ground of persecution in a manner consistent with the other enumerated grounds of persecution in the Act and clarify that our interpretation of the phrase </w:t>
      </w:r>
      <w:r w:rsidR="00C909C4" w:rsidRPr="00E53E52">
        <w:rPr>
          <w:rFonts w:ascii="Century Schoolbook" w:hAnsi="Century Schoolbook"/>
        </w:rPr>
        <w:t>“</w:t>
      </w:r>
      <w:r w:rsidRPr="00E53E52">
        <w:rPr>
          <w:rFonts w:ascii="Century Schoolbook" w:hAnsi="Century Schoolbook"/>
        </w:rPr>
        <w:t>membership in a particular social group</w:t>
      </w:r>
      <w:r w:rsidR="00C909C4" w:rsidRPr="00E53E52">
        <w:rPr>
          <w:rFonts w:ascii="Century Schoolbook" w:hAnsi="Century Schoolbook"/>
        </w:rPr>
        <w:t>”</w:t>
      </w:r>
      <w:r w:rsidRPr="00E53E52">
        <w:rPr>
          <w:rFonts w:ascii="Century Schoolbook" w:hAnsi="Century Schoolbook"/>
        </w:rPr>
        <w:t xml:space="preserve"> requires an applicant for asylum or withholding of removal to establish that the group is (1) composed of members who share </w:t>
      </w:r>
      <w:bookmarkStart w:id="72" w:name="sp_1650_252"/>
      <w:bookmarkStart w:id="73" w:name="SDU_252"/>
      <w:bookmarkEnd w:id="72"/>
      <w:bookmarkEnd w:id="73"/>
      <w:r w:rsidRPr="00E53E52">
        <w:rPr>
          <w:rFonts w:ascii="Century Schoolbook" w:hAnsi="Century Schoolbook"/>
        </w:rPr>
        <w:t xml:space="preserve">a common immutable characteristic, (2) defined with particularity, and (3) socially distinct within the society in question. Not every </w:t>
      </w:r>
      <w:r w:rsidR="00C909C4" w:rsidRPr="00E53E52">
        <w:rPr>
          <w:rFonts w:ascii="Century Schoolbook" w:hAnsi="Century Schoolbook"/>
        </w:rPr>
        <w:t>“</w:t>
      </w:r>
      <w:r w:rsidRPr="00E53E52">
        <w:rPr>
          <w:rFonts w:ascii="Century Schoolbook" w:hAnsi="Century Schoolbook"/>
        </w:rPr>
        <w:t>immutable characteristic</w:t>
      </w:r>
      <w:r w:rsidR="00C909C4" w:rsidRPr="00E53E52">
        <w:rPr>
          <w:rFonts w:ascii="Century Schoolbook" w:hAnsi="Century Schoolbook"/>
        </w:rPr>
        <w:t>”</w:t>
      </w:r>
      <w:r w:rsidRPr="00E53E52">
        <w:rPr>
          <w:rFonts w:ascii="Century Schoolbook" w:hAnsi="Century Schoolbook"/>
        </w:rPr>
        <w:t xml:space="preserve"> is sufficiently precise to define a particular social group. The additional requirements of </w:t>
      </w:r>
      <w:r w:rsidR="00C909C4" w:rsidRPr="00E53E52">
        <w:rPr>
          <w:rFonts w:ascii="Century Schoolbook" w:hAnsi="Century Schoolbook"/>
        </w:rPr>
        <w:t>“</w:t>
      </w:r>
      <w:r w:rsidRPr="00E53E52">
        <w:rPr>
          <w:rFonts w:ascii="Century Schoolbook" w:hAnsi="Century Schoolbook"/>
        </w:rPr>
        <w:t>particularity</w:t>
      </w:r>
      <w:r w:rsidR="00C909C4" w:rsidRPr="00E53E52">
        <w:rPr>
          <w:rFonts w:ascii="Century Schoolbook" w:hAnsi="Century Schoolbook"/>
        </w:rPr>
        <w:t>”</w:t>
      </w:r>
      <w:r w:rsidRPr="00E53E52">
        <w:rPr>
          <w:rFonts w:ascii="Century Schoolbook" w:hAnsi="Century Schoolbook"/>
        </w:rPr>
        <w:t xml:space="preserve"> and </w:t>
      </w:r>
      <w:r w:rsidR="00C909C4" w:rsidRPr="00E53E52">
        <w:rPr>
          <w:rFonts w:ascii="Century Schoolbook" w:hAnsi="Century Schoolbook"/>
        </w:rPr>
        <w:t>“</w:t>
      </w:r>
      <w:r w:rsidRPr="00E53E52">
        <w:rPr>
          <w:rFonts w:ascii="Century Schoolbook" w:hAnsi="Century Schoolbook"/>
        </w:rPr>
        <w:t>social distinction</w:t>
      </w:r>
      <w:r w:rsidR="00C909C4" w:rsidRPr="00E53E52">
        <w:rPr>
          <w:rFonts w:ascii="Century Schoolbook" w:hAnsi="Century Schoolbook"/>
        </w:rPr>
        <w:t>”</w:t>
      </w:r>
      <w:r w:rsidRPr="00E53E52">
        <w:rPr>
          <w:rFonts w:ascii="Century Schoolbook" w:hAnsi="Century Schoolbook"/>
        </w:rPr>
        <w:t xml:space="preserve"> are necessary to ensure that the proposed social group is perceived as a distinct and discrete group by society. * * * </w:t>
      </w:r>
    </w:p>
    <w:p w14:paraId="7215F375" w14:textId="77777777" w:rsidR="00CB408E" w:rsidRPr="00E53E52" w:rsidRDefault="00CB408E" w:rsidP="00C61D06">
      <w:pPr>
        <w:spacing w:after="0"/>
        <w:jc w:val="center"/>
        <w:rPr>
          <w:rFonts w:ascii="Century Schoolbook" w:hAnsi="Century Schoolbook"/>
        </w:rPr>
      </w:pPr>
      <w:bookmarkStart w:id="74" w:name="sp_999_24"/>
      <w:bookmarkStart w:id="75" w:name="SDU_24"/>
      <w:bookmarkEnd w:id="70"/>
      <w:bookmarkEnd w:id="71"/>
      <w:r w:rsidRPr="00E53E52">
        <w:rPr>
          <w:rFonts w:ascii="Century Schoolbook" w:hAnsi="Century Schoolbook"/>
        </w:rPr>
        <w:t>* * *</w:t>
      </w:r>
    </w:p>
    <w:p w14:paraId="4F29D46D" w14:textId="39FACF3C" w:rsidR="00AB3C0C" w:rsidRPr="00E53E52" w:rsidRDefault="00CB408E" w:rsidP="0036367F">
      <w:pPr>
        <w:pStyle w:val="BodyText"/>
        <w:widowControl/>
        <w:spacing w:after="120"/>
        <w:ind w:firstLine="720"/>
        <w:rPr>
          <w:rFonts w:ascii="Century Schoolbook" w:hAnsi="Century Schoolbook"/>
          <w:spacing w:val="-2"/>
        </w:rPr>
      </w:pPr>
      <w:r w:rsidRPr="00E53E52">
        <w:rPr>
          <w:rFonts w:ascii="Century Schoolbook" w:hAnsi="Century Schoolbook"/>
          <w:spacing w:val="-2"/>
        </w:rPr>
        <w:t>The clarification and guidance provided by our decision in this matter may have an impact on the validity of the respondent</w:t>
      </w:r>
      <w:r w:rsidR="00C909C4" w:rsidRPr="00E53E52">
        <w:rPr>
          <w:rFonts w:ascii="Century Schoolbook" w:hAnsi="Century Schoolbook"/>
          <w:spacing w:val="-2"/>
        </w:rPr>
        <w:t>’</w:t>
      </w:r>
      <w:r w:rsidRPr="00E53E52">
        <w:rPr>
          <w:rFonts w:ascii="Century Schoolbook" w:hAnsi="Century Schoolbook"/>
          <w:spacing w:val="-2"/>
        </w:rPr>
        <w:t xml:space="preserve">s proposed group, which, in turn, may affect whether any persecution would be </w:t>
      </w:r>
      <w:r w:rsidR="00C909C4" w:rsidRPr="00E53E52">
        <w:rPr>
          <w:rFonts w:ascii="Century Schoolbook" w:hAnsi="Century Schoolbook"/>
          <w:spacing w:val="-2"/>
        </w:rPr>
        <w:t>“</w:t>
      </w:r>
      <w:r w:rsidRPr="00E53E52">
        <w:rPr>
          <w:rFonts w:ascii="Century Schoolbook" w:hAnsi="Century Schoolbook"/>
          <w:spacing w:val="-2"/>
        </w:rPr>
        <w:t>on account of</w:t>
      </w:r>
      <w:r w:rsidR="00C909C4" w:rsidRPr="00E53E52">
        <w:rPr>
          <w:rFonts w:ascii="Century Schoolbook" w:hAnsi="Century Schoolbook"/>
          <w:spacing w:val="-2"/>
        </w:rPr>
        <w:t>”</w:t>
      </w:r>
      <w:r w:rsidRPr="00E53E52">
        <w:rPr>
          <w:rFonts w:ascii="Century Schoolbook" w:hAnsi="Century Schoolbook"/>
          <w:spacing w:val="-2"/>
        </w:rPr>
        <w:t xml:space="preserve"> his membership in such group. On remand, both parties will have </w:t>
      </w:r>
      <w:bookmarkStart w:id="76" w:name="sp_1650_253"/>
      <w:bookmarkStart w:id="77" w:name="SDU_253"/>
      <w:bookmarkStart w:id="78" w:name="citeas((Cite_as:_26_I._&amp;_N._Dec._227,_*2"/>
      <w:bookmarkEnd w:id="76"/>
      <w:bookmarkEnd w:id="77"/>
      <w:bookmarkEnd w:id="78"/>
      <w:r w:rsidRPr="00E53E52">
        <w:rPr>
          <w:rFonts w:ascii="Century Schoolbook" w:hAnsi="Century Schoolbook"/>
          <w:spacing w:val="-2"/>
        </w:rPr>
        <w:t>an opportunity to present updated country conditions evidence and arguments regarding the respondent</w:t>
      </w:r>
      <w:r w:rsidR="00C909C4" w:rsidRPr="00E53E52">
        <w:rPr>
          <w:rFonts w:ascii="Century Schoolbook" w:hAnsi="Century Schoolbook"/>
          <w:spacing w:val="-2"/>
        </w:rPr>
        <w:t>’</w:t>
      </w:r>
      <w:r w:rsidRPr="00E53E52">
        <w:rPr>
          <w:rFonts w:ascii="Century Schoolbook" w:hAnsi="Century Schoolbook"/>
          <w:spacing w:val="-2"/>
        </w:rPr>
        <w:t>s particular social group claim, and the Immigration Judge may conduct further proceedings as is deemed appropriate under the circumstances. Accordingly, the record will be remanded to the Immigration Judge.</w:t>
      </w:r>
      <w:bookmarkEnd w:id="74"/>
      <w:bookmarkEnd w:id="75"/>
    </w:p>
    <w:p w14:paraId="12C73C6E" w14:textId="77777777" w:rsidR="00F650D4" w:rsidRPr="00E53E52" w:rsidRDefault="00AB3C0C" w:rsidP="001D1D6E">
      <w:pPr>
        <w:pStyle w:val="h1Docttl"/>
        <w:keepNext/>
        <w:spacing w:after="120" w:line="276" w:lineRule="auto"/>
        <w:rPr>
          <w:rStyle w:val="h1DocttlChar"/>
          <w:rFonts w:ascii="Century Schoolbook" w:hAnsi="Century Schoolbook"/>
          <w:b/>
          <w:spacing w:val="-2"/>
          <w:sz w:val="22"/>
          <w:szCs w:val="22"/>
        </w:rPr>
      </w:pPr>
      <w:r w:rsidRPr="00E53E52">
        <w:rPr>
          <w:rStyle w:val="h1DocttlChar"/>
          <w:rFonts w:ascii="Century Schoolbook" w:hAnsi="Century Schoolbook"/>
          <w:b/>
          <w:spacing w:val="-2"/>
          <w:sz w:val="22"/>
          <w:szCs w:val="22"/>
        </w:rPr>
        <w:t>p. 364</w:t>
      </w:r>
      <w:r w:rsidR="00EB72AA" w:rsidRPr="00E53E52">
        <w:rPr>
          <w:rStyle w:val="h1DocttlChar"/>
          <w:rFonts w:ascii="Century Schoolbook" w:hAnsi="Century Schoolbook"/>
          <w:b/>
          <w:spacing w:val="-2"/>
          <w:sz w:val="22"/>
          <w:szCs w:val="22"/>
        </w:rPr>
        <w:t>, a</w:t>
      </w:r>
      <w:r w:rsidR="002408B1" w:rsidRPr="00E53E52">
        <w:rPr>
          <w:rStyle w:val="h1DocttlChar"/>
          <w:rFonts w:ascii="Century Schoolbook" w:hAnsi="Century Schoolbook"/>
          <w:b/>
          <w:spacing w:val="-2"/>
          <w:sz w:val="22"/>
          <w:szCs w:val="22"/>
        </w:rPr>
        <w:t xml:space="preserve">dd </w:t>
      </w:r>
      <w:r w:rsidRPr="00E53E52">
        <w:rPr>
          <w:rStyle w:val="h1DocttlChar"/>
          <w:rFonts w:ascii="Century Schoolbook" w:hAnsi="Century Schoolbook"/>
          <w:b/>
          <w:spacing w:val="-2"/>
          <w:sz w:val="22"/>
          <w:szCs w:val="22"/>
        </w:rPr>
        <w:t xml:space="preserve">new </w:t>
      </w:r>
      <w:r w:rsidR="00F650D4" w:rsidRPr="00E53E52">
        <w:rPr>
          <w:rStyle w:val="h1DocttlChar"/>
          <w:rFonts w:ascii="Century Schoolbook" w:hAnsi="Century Schoolbook"/>
          <w:b/>
          <w:spacing w:val="-2"/>
          <w:sz w:val="22"/>
          <w:szCs w:val="22"/>
        </w:rPr>
        <w:t>subsection:</w:t>
      </w:r>
    </w:p>
    <w:p w14:paraId="66C742B0" w14:textId="1F18B520" w:rsidR="00AB3C0C" w:rsidRPr="00E53E52" w:rsidRDefault="00F650D4" w:rsidP="001D1D6E">
      <w:pPr>
        <w:pStyle w:val="h1Docttl"/>
        <w:spacing w:after="120" w:line="276" w:lineRule="auto"/>
        <w:rPr>
          <w:rStyle w:val="h1DocttlChar"/>
          <w:rFonts w:ascii="Century Schoolbook" w:hAnsi="Century Schoolbook"/>
          <w:b/>
          <w:spacing w:val="-2"/>
          <w:sz w:val="22"/>
          <w:szCs w:val="22"/>
        </w:rPr>
      </w:pPr>
      <w:r w:rsidRPr="00E53E52">
        <w:rPr>
          <w:rStyle w:val="h1DocttlChar"/>
          <w:rFonts w:ascii="Century Schoolbook" w:hAnsi="Century Schoolbook"/>
          <w:b/>
          <w:spacing w:val="-2"/>
          <w:sz w:val="22"/>
          <w:szCs w:val="22"/>
        </w:rPr>
        <w:t>c.</w:t>
      </w:r>
      <w:r w:rsidR="00810FDA" w:rsidRPr="00E53E52">
        <w:rPr>
          <w:rStyle w:val="h1DocttlChar"/>
          <w:rFonts w:ascii="Century Schoolbook" w:hAnsi="Century Schoolbook"/>
          <w:b/>
          <w:spacing w:val="-2"/>
          <w:sz w:val="22"/>
          <w:szCs w:val="22"/>
        </w:rPr>
        <w:t xml:space="preserve"> </w:t>
      </w:r>
      <w:r w:rsidRPr="00E53E52">
        <w:rPr>
          <w:rStyle w:val="h1DocttlChar"/>
          <w:rFonts w:ascii="Century Schoolbook" w:hAnsi="Century Schoolbook"/>
          <w:b/>
          <w:spacing w:val="-2"/>
          <w:sz w:val="22"/>
          <w:szCs w:val="22"/>
        </w:rPr>
        <w:t xml:space="preserve">Threats to Family Members </w:t>
      </w:r>
      <w:r w:rsidR="00A66824" w:rsidRPr="00E53E52">
        <w:rPr>
          <w:rStyle w:val="h1DocttlChar"/>
          <w:rFonts w:ascii="Century Schoolbook" w:hAnsi="Century Schoolbook"/>
          <w:b/>
          <w:spacing w:val="-2"/>
          <w:sz w:val="22"/>
          <w:szCs w:val="22"/>
        </w:rPr>
        <w:t xml:space="preserve">of </w:t>
      </w:r>
      <w:r w:rsidR="0026313F" w:rsidRPr="00E53E52">
        <w:rPr>
          <w:rStyle w:val="h1DocttlChar"/>
          <w:rFonts w:ascii="Century Schoolbook" w:hAnsi="Century Schoolbook"/>
          <w:b/>
          <w:spacing w:val="-2"/>
          <w:sz w:val="22"/>
          <w:szCs w:val="22"/>
        </w:rPr>
        <w:t>Individuals Targeted by Gangs</w:t>
      </w:r>
      <w:r w:rsidR="00F75A3A" w:rsidRPr="00E53E52">
        <w:rPr>
          <w:rStyle w:val="h1DocttlChar"/>
          <w:rFonts w:ascii="Century Schoolbook" w:hAnsi="Century Schoolbook"/>
          <w:b/>
          <w:spacing w:val="-2"/>
          <w:sz w:val="22"/>
          <w:szCs w:val="22"/>
        </w:rPr>
        <w:t xml:space="preserve"> </w:t>
      </w:r>
    </w:p>
    <w:p w14:paraId="5C0C5FCD" w14:textId="1D82B80C" w:rsidR="00AB3C0C" w:rsidRPr="00E53E52" w:rsidRDefault="00AB3C0C" w:rsidP="0036367F">
      <w:pPr>
        <w:pStyle w:val="h1Docttl"/>
        <w:spacing w:after="120" w:line="276" w:lineRule="auto"/>
        <w:ind w:firstLine="720"/>
        <w:jc w:val="both"/>
        <w:rPr>
          <w:rStyle w:val="h1DocttlChar"/>
          <w:rFonts w:ascii="Century Schoolbook" w:hAnsi="Century Schoolbook"/>
          <w:spacing w:val="-2"/>
          <w:sz w:val="22"/>
          <w:szCs w:val="22"/>
        </w:rPr>
      </w:pPr>
      <w:r w:rsidRPr="00E53E52">
        <w:rPr>
          <w:rStyle w:val="h1DocttlChar"/>
          <w:rFonts w:ascii="Century Schoolbook" w:hAnsi="Century Schoolbook"/>
          <w:spacing w:val="-2"/>
          <w:sz w:val="22"/>
          <w:szCs w:val="22"/>
        </w:rPr>
        <w:t>Gang-related violence has continued to generate asylum claims</w:t>
      </w:r>
      <w:r w:rsidR="00D836DF" w:rsidRPr="00E53E52">
        <w:rPr>
          <w:rStyle w:val="h1DocttlChar"/>
          <w:rFonts w:ascii="Century Schoolbook" w:hAnsi="Century Schoolbook"/>
          <w:spacing w:val="-2"/>
          <w:sz w:val="22"/>
          <w:szCs w:val="22"/>
        </w:rPr>
        <w:t xml:space="preserve"> from a variety of individuals targeted by gangs</w:t>
      </w:r>
      <w:r w:rsidRPr="00E53E52">
        <w:rPr>
          <w:rStyle w:val="h1DocttlChar"/>
          <w:rFonts w:ascii="Century Schoolbook" w:hAnsi="Century Schoolbook"/>
          <w:spacing w:val="-2"/>
          <w:sz w:val="22"/>
          <w:szCs w:val="22"/>
        </w:rPr>
        <w:t>.</w:t>
      </w:r>
      <w:r w:rsidR="00810FDA" w:rsidRPr="00E53E52">
        <w:rPr>
          <w:rStyle w:val="h1DocttlChar"/>
          <w:rFonts w:ascii="Century Schoolbook" w:hAnsi="Century Schoolbook"/>
          <w:spacing w:val="-2"/>
          <w:sz w:val="22"/>
          <w:szCs w:val="22"/>
        </w:rPr>
        <w:t xml:space="preserve"> </w:t>
      </w:r>
      <w:r w:rsidRPr="00E53E52">
        <w:rPr>
          <w:rStyle w:val="h1DocttlChar"/>
          <w:rFonts w:ascii="Century Schoolbook" w:hAnsi="Century Schoolbook"/>
          <w:spacing w:val="-2"/>
          <w:sz w:val="22"/>
          <w:szCs w:val="22"/>
        </w:rPr>
        <w:t>In the following excerpt the Fourth Circuit considered the asylum claim of a mother threatened by gang members for her opposition to their recruitment of her son.</w:t>
      </w:r>
    </w:p>
    <w:p w14:paraId="61C417A2" w14:textId="77777777" w:rsidR="00AB3C0C" w:rsidRPr="00E53E52" w:rsidRDefault="00AB3C0C" w:rsidP="001D1D6E">
      <w:pPr>
        <w:pStyle w:val="h1Docttl"/>
        <w:spacing w:after="120" w:line="276" w:lineRule="auto"/>
        <w:jc w:val="center"/>
        <w:outlineLvl w:val="0"/>
        <w:rPr>
          <w:rFonts w:ascii="Century Schoolbook" w:hAnsi="Century Schoolbook"/>
          <w:caps/>
          <w:sz w:val="22"/>
          <w:szCs w:val="22"/>
        </w:rPr>
      </w:pPr>
      <w:r w:rsidRPr="00E53E52">
        <w:rPr>
          <w:rStyle w:val="h1DocttlChar"/>
          <w:rFonts w:ascii="Century Schoolbook" w:hAnsi="Century Schoolbook"/>
          <w:b/>
          <w:caps/>
          <w:spacing w:val="-2"/>
          <w:sz w:val="22"/>
          <w:szCs w:val="22"/>
        </w:rPr>
        <w:t xml:space="preserve">Hernandez-Avalos </w:t>
      </w:r>
      <w:r w:rsidRPr="00E53E52">
        <w:rPr>
          <w:rStyle w:val="h1DocttlChar"/>
          <w:rFonts w:ascii="Century Schoolbook" w:hAnsi="Century Schoolbook"/>
          <w:b/>
          <w:spacing w:val="-2"/>
          <w:sz w:val="22"/>
          <w:szCs w:val="22"/>
        </w:rPr>
        <w:t xml:space="preserve">v. </w:t>
      </w:r>
      <w:r w:rsidRPr="00E53E52">
        <w:rPr>
          <w:rStyle w:val="h1DocttlChar"/>
          <w:rFonts w:ascii="Century Schoolbook" w:hAnsi="Century Schoolbook"/>
          <w:b/>
          <w:caps/>
          <w:spacing w:val="-2"/>
          <w:sz w:val="22"/>
          <w:szCs w:val="22"/>
        </w:rPr>
        <w:t>Lynch</w:t>
      </w:r>
      <w:r w:rsidRPr="00E53E52">
        <w:rPr>
          <w:rStyle w:val="Header1"/>
          <w:rFonts w:ascii="Century Schoolbook" w:hAnsi="Century Schoolbook"/>
          <w:caps/>
          <w:sz w:val="22"/>
          <w:szCs w:val="22"/>
        </w:rPr>
        <w:t xml:space="preserve"> </w:t>
      </w:r>
    </w:p>
    <w:p w14:paraId="3ACB8BBA" w14:textId="77777777" w:rsidR="00AB3C0C" w:rsidRPr="00E53E52" w:rsidRDefault="00AB3C0C" w:rsidP="001D1D6E">
      <w:pPr>
        <w:pStyle w:val="pdocinfo"/>
        <w:spacing w:after="120" w:line="276" w:lineRule="auto"/>
        <w:jc w:val="center"/>
        <w:rPr>
          <w:rFonts w:ascii="Century Schoolbook" w:hAnsi="Century Schoolbook"/>
          <w:sz w:val="18"/>
          <w:szCs w:val="18"/>
        </w:rPr>
      </w:pPr>
      <w:r w:rsidRPr="00E53E52">
        <w:rPr>
          <w:rStyle w:val="pdocinfoChar"/>
          <w:rFonts w:ascii="Century Schoolbook" w:hAnsi="Century Schoolbook"/>
          <w:sz w:val="18"/>
          <w:szCs w:val="18"/>
        </w:rPr>
        <w:t>United States Court of Appeals for the Fourth Circuit, 2015</w:t>
      </w:r>
      <w:r w:rsidR="00657D73" w:rsidRPr="00E53E52">
        <w:rPr>
          <w:rStyle w:val="pdocinfoChar"/>
          <w:rFonts w:ascii="Century Schoolbook" w:hAnsi="Century Schoolbook"/>
          <w:sz w:val="18"/>
          <w:szCs w:val="18"/>
        </w:rPr>
        <w:br/>
      </w:r>
      <w:r w:rsidRPr="00E53E52">
        <w:rPr>
          <w:rFonts w:ascii="Century Schoolbook" w:hAnsi="Century Schoolbook"/>
          <w:sz w:val="18"/>
          <w:szCs w:val="18"/>
        </w:rPr>
        <w:t>784 F.3d 944</w:t>
      </w:r>
    </w:p>
    <w:p w14:paraId="2DBC2B4C" w14:textId="77777777" w:rsidR="00AB3C0C" w:rsidRPr="00E53E52" w:rsidRDefault="00AB3C0C" w:rsidP="0036367F">
      <w:pPr>
        <w:pStyle w:val="pagshow"/>
        <w:spacing w:after="120" w:line="276" w:lineRule="auto"/>
        <w:ind w:firstLine="720"/>
        <w:jc w:val="both"/>
        <w:rPr>
          <w:rFonts w:ascii="Century Schoolbook" w:hAnsi="Century Schoolbook"/>
          <w:smallCaps/>
          <w:sz w:val="22"/>
          <w:szCs w:val="22"/>
        </w:rPr>
      </w:pPr>
      <w:r w:rsidRPr="00E53E52">
        <w:rPr>
          <w:rFonts w:ascii="Century Schoolbook" w:hAnsi="Century Schoolbook"/>
          <w:smallCaps/>
          <w:sz w:val="22"/>
          <w:szCs w:val="22"/>
        </w:rPr>
        <w:t>Shedd,</w:t>
      </w:r>
      <w:r w:rsidRPr="00E53E52">
        <w:rPr>
          <w:rFonts w:ascii="Century Schoolbook" w:hAnsi="Century Schoolbook"/>
          <w:sz w:val="22"/>
          <w:szCs w:val="22"/>
        </w:rPr>
        <w:t xml:space="preserve"> </w:t>
      </w:r>
      <w:r w:rsidRPr="00E53E52">
        <w:rPr>
          <w:rFonts w:ascii="Century Schoolbook" w:hAnsi="Century Schoolbook"/>
          <w:smallCaps/>
          <w:sz w:val="22"/>
          <w:szCs w:val="22"/>
        </w:rPr>
        <w:t>Circuit Judge:</w:t>
      </w:r>
    </w:p>
    <w:p w14:paraId="26D5DC73" w14:textId="3F216529" w:rsidR="00AB3C0C" w:rsidRPr="00E53E52" w:rsidRDefault="00AB3C0C" w:rsidP="0036367F">
      <w:pPr>
        <w:pStyle w:val="articalp"/>
        <w:spacing w:after="120" w:line="276" w:lineRule="auto"/>
        <w:ind w:firstLine="720"/>
        <w:jc w:val="both"/>
        <w:rPr>
          <w:rFonts w:ascii="Century Schoolbook" w:hAnsi="Century Schoolbook"/>
          <w:spacing w:val="-2"/>
          <w:sz w:val="22"/>
          <w:szCs w:val="22"/>
        </w:rPr>
      </w:pPr>
      <w:r w:rsidRPr="00E53E52">
        <w:rPr>
          <w:rFonts w:ascii="Century Schoolbook" w:hAnsi="Century Schoolbook"/>
          <w:spacing w:val="-2"/>
          <w:sz w:val="22"/>
          <w:szCs w:val="22"/>
        </w:rPr>
        <w:t>[Maydai Hernandez-Avalos and her minor son, citizens of El Salvador, requested asylum in the United States.</w:t>
      </w:r>
      <w:r w:rsidR="00810FDA" w:rsidRPr="00E53E52">
        <w:rPr>
          <w:rFonts w:ascii="Century Schoolbook" w:hAnsi="Century Schoolbook"/>
          <w:spacing w:val="-2"/>
          <w:sz w:val="22"/>
          <w:szCs w:val="22"/>
        </w:rPr>
        <w:t xml:space="preserve"> </w:t>
      </w:r>
      <w:r w:rsidRPr="00E53E52">
        <w:rPr>
          <w:rFonts w:ascii="Century Schoolbook" w:hAnsi="Century Schoolbook"/>
          <w:spacing w:val="-2"/>
          <w:sz w:val="22"/>
          <w:szCs w:val="22"/>
        </w:rPr>
        <w:t xml:space="preserve">In testimony deemed credible by the Immigration Judge, Hernandez-Avalos testified that heavily armed members of the Mara 18 gang came to her house and threatened to kill her on three different occasions. Twice gang members put a gun to her head and said they would kill her if she prevented her </w:t>
      </w:r>
      <w:r w:rsidR="00DA2A7D" w:rsidRPr="00E53E52">
        <w:rPr>
          <w:rFonts w:ascii="Century Schoolbook" w:hAnsi="Century Schoolbook"/>
          <w:spacing w:val="-2"/>
          <w:sz w:val="22"/>
          <w:szCs w:val="22"/>
        </w:rPr>
        <w:t>twelve-year-old</w:t>
      </w:r>
      <w:r w:rsidRPr="00E53E52">
        <w:rPr>
          <w:rFonts w:ascii="Century Schoolbook" w:hAnsi="Century Schoolbook"/>
          <w:spacing w:val="-2"/>
          <w:sz w:val="22"/>
          <w:szCs w:val="22"/>
        </w:rPr>
        <w:t xml:space="preserve"> son from joining the gang; the evening before she fled the gang members threatened to kill her the next day if she interfered with their forced recruitment of her son. The Immigration Judge ruled that she had not shown she was likely to suffer future persecution based on membership in a particular social group, denied relief, and ordered her removed to El Salvador.</w:t>
      </w:r>
      <w:r w:rsidR="00810FDA" w:rsidRPr="00E53E52">
        <w:rPr>
          <w:rFonts w:ascii="Century Schoolbook" w:hAnsi="Century Schoolbook"/>
          <w:spacing w:val="-2"/>
          <w:sz w:val="22"/>
          <w:szCs w:val="22"/>
        </w:rPr>
        <w:t xml:space="preserve"> </w:t>
      </w:r>
      <w:r w:rsidRPr="00E53E52">
        <w:rPr>
          <w:rFonts w:ascii="Century Schoolbook" w:hAnsi="Century Schoolbook"/>
          <w:spacing w:val="-2"/>
          <w:sz w:val="22"/>
          <w:szCs w:val="22"/>
        </w:rPr>
        <w:t>The BIA affirmed.]</w:t>
      </w:r>
    </w:p>
    <w:p w14:paraId="7576F972" w14:textId="77777777" w:rsidR="00AB3C0C" w:rsidRPr="00E53E52" w:rsidRDefault="00AB3C0C" w:rsidP="0036367F">
      <w:pPr>
        <w:pStyle w:val="articalp"/>
        <w:spacing w:after="120" w:line="276" w:lineRule="auto"/>
        <w:ind w:firstLine="720"/>
        <w:jc w:val="both"/>
        <w:rPr>
          <w:rFonts w:ascii="Century Schoolbook" w:hAnsi="Century Schoolbook"/>
          <w:sz w:val="22"/>
          <w:szCs w:val="22"/>
        </w:rPr>
      </w:pPr>
      <w:r w:rsidRPr="00E53E52">
        <w:rPr>
          <w:rFonts w:ascii="Century Schoolbook" w:hAnsi="Century Schoolbook"/>
          <w:spacing w:val="-2"/>
          <w:sz w:val="22"/>
          <w:szCs w:val="22"/>
        </w:rPr>
        <w:lastRenderedPageBreak/>
        <w:t>* * * Hernandez claims, and the government correctly acknowledges, that membership in a nuclear family qualifies as a protected ground for asylum purposes.</w:t>
      </w:r>
    </w:p>
    <w:p w14:paraId="704C8A2A" w14:textId="13EDA56F" w:rsidR="00AB3C0C" w:rsidRPr="00E53E52" w:rsidRDefault="00AB3C0C" w:rsidP="0036367F">
      <w:pPr>
        <w:pStyle w:val="articalp"/>
        <w:spacing w:after="120" w:line="276" w:lineRule="auto"/>
        <w:ind w:firstLine="720"/>
        <w:jc w:val="both"/>
        <w:rPr>
          <w:rFonts w:ascii="Century Schoolbook" w:hAnsi="Century Schoolbook"/>
          <w:spacing w:val="-2"/>
          <w:sz w:val="22"/>
          <w:szCs w:val="22"/>
        </w:rPr>
      </w:pPr>
      <w:r w:rsidRPr="00E53E52">
        <w:rPr>
          <w:rFonts w:ascii="Century Schoolbook" w:hAnsi="Century Schoolbook"/>
          <w:spacing w:val="-2"/>
          <w:sz w:val="22"/>
          <w:szCs w:val="22"/>
        </w:rPr>
        <w:t>The government argues, however, that the BIA was correct in holding that Hernandez</w:t>
      </w:r>
      <w:r w:rsidR="00C909C4" w:rsidRPr="00E53E52">
        <w:rPr>
          <w:rFonts w:ascii="Century Schoolbook" w:hAnsi="Century Schoolbook"/>
          <w:spacing w:val="-2"/>
          <w:sz w:val="22"/>
          <w:szCs w:val="22"/>
        </w:rPr>
        <w:t>’</w:t>
      </w:r>
      <w:r w:rsidRPr="00E53E52">
        <w:rPr>
          <w:rFonts w:ascii="Century Schoolbook" w:hAnsi="Century Schoolbook"/>
          <w:spacing w:val="-2"/>
          <w:sz w:val="22"/>
          <w:szCs w:val="22"/>
        </w:rPr>
        <w:t xml:space="preserve">s persecution was not </w:t>
      </w:r>
      <w:r w:rsidR="00C909C4" w:rsidRPr="00E53E52">
        <w:rPr>
          <w:rFonts w:ascii="Century Schoolbook" w:hAnsi="Century Schoolbook"/>
          <w:spacing w:val="-2"/>
          <w:sz w:val="22"/>
          <w:szCs w:val="22"/>
        </w:rPr>
        <w:t>“</w:t>
      </w:r>
      <w:r w:rsidRPr="00E53E52">
        <w:rPr>
          <w:rFonts w:ascii="Century Schoolbook" w:hAnsi="Century Schoolbook"/>
          <w:spacing w:val="-2"/>
          <w:sz w:val="22"/>
          <w:szCs w:val="22"/>
        </w:rPr>
        <w:t>on account of</w:t>
      </w:r>
      <w:r w:rsidR="00C909C4" w:rsidRPr="00E53E52">
        <w:rPr>
          <w:rFonts w:ascii="Century Schoolbook" w:hAnsi="Century Schoolbook"/>
          <w:spacing w:val="-2"/>
          <w:sz w:val="22"/>
          <w:szCs w:val="22"/>
        </w:rPr>
        <w:t>”</w:t>
      </w:r>
      <w:r w:rsidRPr="00E53E52">
        <w:rPr>
          <w:rFonts w:ascii="Century Schoolbook" w:hAnsi="Century Schoolbook"/>
          <w:spacing w:val="-2"/>
          <w:sz w:val="22"/>
          <w:szCs w:val="22"/>
        </w:rPr>
        <w:t xml:space="preserve"> her family ties. * * *</w:t>
      </w:r>
      <w:r w:rsidR="00810FDA" w:rsidRPr="00E53E52">
        <w:rPr>
          <w:rFonts w:ascii="Century Schoolbook" w:hAnsi="Century Schoolbook"/>
          <w:spacing w:val="-2"/>
          <w:sz w:val="22"/>
          <w:szCs w:val="22"/>
        </w:rPr>
        <w:t xml:space="preserve"> </w:t>
      </w:r>
    </w:p>
    <w:p w14:paraId="435D61EC" w14:textId="34A515E2" w:rsidR="00AB3C0C" w:rsidRPr="00E53E52" w:rsidRDefault="00AB3C0C" w:rsidP="0036367F">
      <w:pPr>
        <w:pStyle w:val="articalp"/>
        <w:spacing w:after="120" w:line="276" w:lineRule="auto"/>
        <w:ind w:firstLine="720"/>
        <w:jc w:val="both"/>
        <w:rPr>
          <w:rFonts w:ascii="Century Schoolbook" w:hAnsi="Century Schoolbook"/>
          <w:sz w:val="22"/>
          <w:szCs w:val="22"/>
        </w:rPr>
      </w:pPr>
      <w:r w:rsidRPr="00E53E52">
        <w:rPr>
          <w:rFonts w:ascii="Century Schoolbook" w:hAnsi="Century Schoolbook"/>
          <w:spacing w:val="-2"/>
          <w:sz w:val="22"/>
          <w:szCs w:val="22"/>
        </w:rPr>
        <w:t xml:space="preserve">The BIA * * * reasoned that </w:t>
      </w:r>
      <w:r w:rsidR="00C909C4" w:rsidRPr="00E53E52">
        <w:rPr>
          <w:rFonts w:ascii="Century Schoolbook" w:hAnsi="Century Schoolbook"/>
          <w:spacing w:val="-2"/>
          <w:sz w:val="22"/>
          <w:szCs w:val="22"/>
        </w:rPr>
        <w:t>“</w:t>
      </w:r>
      <w:r w:rsidRPr="00E53E52">
        <w:rPr>
          <w:rFonts w:ascii="Century Schoolbook" w:hAnsi="Century Schoolbook"/>
          <w:spacing w:val="-2"/>
          <w:sz w:val="22"/>
          <w:szCs w:val="22"/>
        </w:rPr>
        <w:t>[s]he was not threatened because of her relationship to her son (i.e. family), but rather because she would not consent to her son engaging in a criminal activity.</w:t>
      </w:r>
      <w:r w:rsidR="00C909C4" w:rsidRPr="00E53E52">
        <w:rPr>
          <w:rFonts w:ascii="Century Schoolbook" w:hAnsi="Century Schoolbook"/>
          <w:spacing w:val="-2"/>
          <w:sz w:val="22"/>
          <w:szCs w:val="22"/>
        </w:rPr>
        <w:t>”</w:t>
      </w:r>
      <w:r w:rsidRPr="00E53E52">
        <w:rPr>
          <w:rFonts w:ascii="Century Schoolbook" w:hAnsi="Century Schoolbook"/>
          <w:spacing w:val="-2"/>
          <w:sz w:val="22"/>
          <w:szCs w:val="22"/>
        </w:rPr>
        <w:t xml:space="preserve"> The government argues that * * * the fact that the person blocking the gang members</w:t>
      </w:r>
      <w:r w:rsidR="00C909C4" w:rsidRPr="00E53E52">
        <w:rPr>
          <w:rFonts w:ascii="Century Schoolbook" w:hAnsi="Century Schoolbook"/>
          <w:spacing w:val="-2"/>
          <w:sz w:val="22"/>
          <w:szCs w:val="22"/>
        </w:rPr>
        <w:t>’</w:t>
      </w:r>
      <w:r w:rsidRPr="00E53E52">
        <w:rPr>
          <w:rFonts w:ascii="Century Schoolbook" w:hAnsi="Century Schoolbook"/>
          <w:spacing w:val="-2"/>
          <w:sz w:val="22"/>
          <w:szCs w:val="22"/>
        </w:rPr>
        <w:t xml:space="preserve"> recruitment effort was their membership target</w:t>
      </w:r>
      <w:r w:rsidR="00C909C4" w:rsidRPr="00E53E52">
        <w:rPr>
          <w:rFonts w:ascii="Century Schoolbook" w:hAnsi="Century Schoolbook"/>
          <w:spacing w:val="-2"/>
          <w:sz w:val="22"/>
          <w:szCs w:val="22"/>
        </w:rPr>
        <w:t>’</w:t>
      </w:r>
      <w:r w:rsidRPr="00E53E52">
        <w:rPr>
          <w:rFonts w:ascii="Century Schoolbook" w:hAnsi="Century Schoolbook"/>
          <w:spacing w:val="-2"/>
          <w:sz w:val="22"/>
          <w:szCs w:val="22"/>
        </w:rPr>
        <w:t>s mother was merely incidental to the recruitment aim.</w:t>
      </w:r>
    </w:p>
    <w:p w14:paraId="70826D87" w14:textId="37685FD9" w:rsidR="00AB3C0C" w:rsidRPr="00E53E52" w:rsidRDefault="00AB3C0C" w:rsidP="0036367F">
      <w:pPr>
        <w:pStyle w:val="articalp"/>
        <w:spacing w:after="120" w:line="276" w:lineRule="auto"/>
        <w:ind w:firstLine="720"/>
        <w:jc w:val="both"/>
        <w:rPr>
          <w:rFonts w:ascii="Century Schoolbook" w:hAnsi="Century Schoolbook"/>
          <w:spacing w:val="-2"/>
          <w:sz w:val="22"/>
          <w:szCs w:val="22"/>
        </w:rPr>
      </w:pPr>
      <w:r w:rsidRPr="00E53E52">
        <w:rPr>
          <w:rFonts w:ascii="Century Schoolbook" w:hAnsi="Century Schoolbook"/>
          <w:spacing w:val="-2"/>
          <w:sz w:val="22"/>
          <w:szCs w:val="22"/>
        </w:rPr>
        <w:t xml:space="preserve">We believe that this is an excessively narrow reading of the requirement that persecution be undertaken </w:t>
      </w:r>
      <w:r w:rsidR="00C909C4" w:rsidRPr="00E53E52">
        <w:rPr>
          <w:rFonts w:ascii="Century Schoolbook" w:hAnsi="Century Schoolbook"/>
          <w:spacing w:val="-2"/>
          <w:sz w:val="22"/>
          <w:szCs w:val="22"/>
        </w:rPr>
        <w:t>“</w:t>
      </w:r>
      <w:r w:rsidRPr="00E53E52">
        <w:rPr>
          <w:rFonts w:ascii="Century Schoolbook" w:hAnsi="Century Schoolbook"/>
          <w:spacing w:val="-2"/>
          <w:sz w:val="22"/>
          <w:szCs w:val="22"/>
        </w:rPr>
        <w:t>on account of membership in a nuclear family.</w:t>
      </w:r>
      <w:r w:rsidR="00C909C4" w:rsidRPr="00E53E52">
        <w:rPr>
          <w:rFonts w:ascii="Century Schoolbook" w:hAnsi="Century Schoolbook"/>
          <w:spacing w:val="-2"/>
          <w:sz w:val="22"/>
          <w:szCs w:val="22"/>
        </w:rPr>
        <w:t>”</w:t>
      </w:r>
      <w:r w:rsidR="00810FDA" w:rsidRPr="00E53E52">
        <w:rPr>
          <w:rFonts w:ascii="Century Schoolbook" w:hAnsi="Century Schoolbook"/>
          <w:spacing w:val="-2"/>
          <w:sz w:val="22"/>
          <w:szCs w:val="22"/>
        </w:rPr>
        <w:t xml:space="preserve"> </w:t>
      </w:r>
      <w:r w:rsidRPr="00E53E52">
        <w:rPr>
          <w:rFonts w:ascii="Century Schoolbook" w:hAnsi="Century Schoolbook"/>
          <w:spacing w:val="-2"/>
          <w:sz w:val="22"/>
          <w:szCs w:val="22"/>
        </w:rPr>
        <w:t>Hernandez</w:t>
      </w:r>
      <w:r w:rsidR="00C909C4" w:rsidRPr="00E53E52">
        <w:rPr>
          <w:rFonts w:ascii="Century Schoolbook" w:hAnsi="Century Schoolbook"/>
          <w:spacing w:val="-2"/>
          <w:sz w:val="22"/>
          <w:szCs w:val="22"/>
        </w:rPr>
        <w:t>’</w:t>
      </w:r>
      <w:r w:rsidRPr="00E53E52">
        <w:rPr>
          <w:rFonts w:ascii="Century Schoolbook" w:hAnsi="Century Schoolbook"/>
          <w:spacing w:val="-2"/>
          <w:sz w:val="22"/>
          <w:szCs w:val="22"/>
        </w:rPr>
        <w:t>s relationship to her son is why she, and not another person, was threatened with death if she did not allow him to join Mara 18, and the gang members</w:t>
      </w:r>
      <w:r w:rsidR="00C909C4" w:rsidRPr="00E53E52">
        <w:rPr>
          <w:rFonts w:ascii="Century Schoolbook" w:hAnsi="Century Schoolbook"/>
          <w:spacing w:val="-2"/>
          <w:sz w:val="22"/>
          <w:szCs w:val="22"/>
        </w:rPr>
        <w:t>’</w:t>
      </w:r>
      <w:r w:rsidRPr="00E53E52">
        <w:rPr>
          <w:rFonts w:ascii="Century Schoolbook" w:hAnsi="Century Schoolbook"/>
          <w:spacing w:val="-2"/>
          <w:sz w:val="22"/>
          <w:szCs w:val="22"/>
        </w:rPr>
        <w:t xml:space="preserve"> demands leveraged her maternal authority to control her son</w:t>
      </w:r>
      <w:r w:rsidR="00C909C4" w:rsidRPr="00E53E52">
        <w:rPr>
          <w:rFonts w:ascii="Century Schoolbook" w:hAnsi="Century Schoolbook"/>
          <w:spacing w:val="-2"/>
          <w:sz w:val="22"/>
          <w:szCs w:val="22"/>
        </w:rPr>
        <w:t>’</w:t>
      </w:r>
      <w:r w:rsidRPr="00E53E52">
        <w:rPr>
          <w:rFonts w:ascii="Century Schoolbook" w:hAnsi="Century Schoolbook"/>
          <w:spacing w:val="-2"/>
          <w:sz w:val="22"/>
          <w:szCs w:val="22"/>
        </w:rPr>
        <w:t xml:space="preserve">s activities. </w:t>
      </w:r>
    </w:p>
    <w:p w14:paraId="56B0C93B" w14:textId="2518C492" w:rsidR="00AB3C0C" w:rsidRPr="00E53E52" w:rsidRDefault="00AB3C0C" w:rsidP="0036367F">
      <w:pPr>
        <w:pStyle w:val="articalp"/>
        <w:spacing w:after="120" w:line="276" w:lineRule="auto"/>
        <w:ind w:firstLine="720"/>
        <w:jc w:val="both"/>
        <w:rPr>
          <w:rFonts w:ascii="Century Schoolbook" w:hAnsi="Century Schoolbook"/>
          <w:spacing w:val="-2"/>
          <w:sz w:val="22"/>
          <w:szCs w:val="22"/>
        </w:rPr>
      </w:pPr>
      <w:r w:rsidRPr="00E53E52">
        <w:rPr>
          <w:rFonts w:ascii="Century Schoolbook" w:hAnsi="Century Schoolbook"/>
          <w:spacing w:val="-2"/>
          <w:sz w:val="22"/>
          <w:szCs w:val="22"/>
        </w:rPr>
        <w:t>The BIA</w:t>
      </w:r>
      <w:r w:rsidR="00C909C4" w:rsidRPr="00E53E52">
        <w:rPr>
          <w:rFonts w:ascii="Century Schoolbook" w:hAnsi="Century Schoolbook"/>
          <w:spacing w:val="-2"/>
          <w:sz w:val="22"/>
          <w:szCs w:val="22"/>
        </w:rPr>
        <w:t>’</w:t>
      </w:r>
      <w:r w:rsidRPr="00E53E52">
        <w:rPr>
          <w:rFonts w:ascii="Century Schoolbook" w:hAnsi="Century Schoolbook"/>
          <w:spacing w:val="-2"/>
          <w:sz w:val="22"/>
          <w:szCs w:val="22"/>
        </w:rPr>
        <w:t>s conclusion that these threats were directed at her not because she is his mother but because she exercises control over her son</w:t>
      </w:r>
      <w:r w:rsidR="00C909C4" w:rsidRPr="00E53E52">
        <w:rPr>
          <w:rFonts w:ascii="Century Schoolbook" w:hAnsi="Century Schoolbook"/>
          <w:spacing w:val="-2"/>
          <w:sz w:val="22"/>
          <w:szCs w:val="22"/>
        </w:rPr>
        <w:t>’</w:t>
      </w:r>
      <w:r w:rsidRPr="00E53E52">
        <w:rPr>
          <w:rFonts w:ascii="Century Schoolbook" w:hAnsi="Century Schoolbook"/>
          <w:spacing w:val="-2"/>
          <w:sz w:val="22"/>
          <w:szCs w:val="22"/>
        </w:rPr>
        <w:t>s activities draws a meaningless distinction under these facts. It is therefore unreasonable to assert that the fact that Hernandez is her son</w:t>
      </w:r>
      <w:r w:rsidR="00C909C4" w:rsidRPr="00E53E52">
        <w:rPr>
          <w:rFonts w:ascii="Century Schoolbook" w:hAnsi="Century Schoolbook"/>
          <w:spacing w:val="-2"/>
          <w:sz w:val="22"/>
          <w:szCs w:val="22"/>
        </w:rPr>
        <w:t>’</w:t>
      </w:r>
      <w:r w:rsidRPr="00E53E52">
        <w:rPr>
          <w:rFonts w:ascii="Century Schoolbook" w:hAnsi="Century Schoolbook"/>
          <w:spacing w:val="-2"/>
          <w:sz w:val="22"/>
          <w:szCs w:val="22"/>
        </w:rPr>
        <w:t xml:space="preserve">s mother is not </w:t>
      </w:r>
      <w:r w:rsidRPr="00E53E52">
        <w:rPr>
          <w:rFonts w:ascii="Century Schoolbook" w:hAnsi="Century Schoolbook"/>
          <w:i/>
          <w:spacing w:val="-2"/>
          <w:sz w:val="22"/>
          <w:szCs w:val="22"/>
          <w:u w:color="000000"/>
        </w:rPr>
        <w:t>at least one</w:t>
      </w:r>
      <w:r w:rsidRPr="00E53E52">
        <w:rPr>
          <w:rFonts w:ascii="Century Schoolbook" w:hAnsi="Century Schoolbook"/>
          <w:spacing w:val="-2"/>
          <w:sz w:val="22"/>
          <w:szCs w:val="22"/>
        </w:rPr>
        <w:t xml:space="preserve"> central reason for her persecution.</w:t>
      </w:r>
    </w:p>
    <w:p w14:paraId="5724B992" w14:textId="77777777" w:rsidR="00AB3C0C" w:rsidRPr="00E53E52" w:rsidRDefault="00AB3C0C" w:rsidP="001D1D6E">
      <w:pPr>
        <w:pStyle w:val="articalp"/>
        <w:spacing w:after="120" w:line="276" w:lineRule="auto"/>
        <w:jc w:val="center"/>
        <w:rPr>
          <w:rFonts w:ascii="Century Schoolbook" w:hAnsi="Century Schoolbook"/>
          <w:sz w:val="22"/>
          <w:szCs w:val="22"/>
        </w:rPr>
      </w:pPr>
      <w:r w:rsidRPr="00E53E52">
        <w:rPr>
          <w:rFonts w:ascii="Century Schoolbook" w:hAnsi="Century Schoolbook"/>
          <w:spacing w:val="-2"/>
          <w:sz w:val="22"/>
          <w:szCs w:val="22"/>
        </w:rPr>
        <w:t>* * *</w:t>
      </w:r>
    </w:p>
    <w:p w14:paraId="36EFE769" w14:textId="7B3A575F" w:rsidR="00AB3C0C" w:rsidRPr="00E53E52" w:rsidRDefault="00AB3C0C" w:rsidP="0036367F">
      <w:pPr>
        <w:pStyle w:val="articalp"/>
        <w:spacing w:after="120" w:line="276" w:lineRule="auto"/>
        <w:ind w:firstLine="720"/>
        <w:jc w:val="both"/>
        <w:rPr>
          <w:rFonts w:ascii="Century Schoolbook" w:hAnsi="Century Schoolbook"/>
          <w:sz w:val="22"/>
          <w:szCs w:val="22"/>
        </w:rPr>
      </w:pPr>
      <w:r w:rsidRPr="00E53E52">
        <w:rPr>
          <w:rFonts w:ascii="Century Schoolbook" w:hAnsi="Century Schoolbook"/>
          <w:spacing w:val="-2"/>
          <w:sz w:val="22"/>
          <w:szCs w:val="22"/>
        </w:rPr>
        <w:t xml:space="preserve">[I]n this case Mara 18 threatened Hernandez in order to recruit her son into their ranks, but they also threatened </w:t>
      </w:r>
      <w:r w:rsidRPr="00E53E52">
        <w:rPr>
          <w:rFonts w:ascii="Century Schoolbook" w:hAnsi="Century Schoolbook"/>
          <w:i/>
          <w:spacing w:val="-2"/>
          <w:sz w:val="22"/>
          <w:szCs w:val="22"/>
          <w:u w:color="000000"/>
        </w:rPr>
        <w:t>Hernandez</w:t>
      </w:r>
      <w:r w:rsidRPr="00E53E52">
        <w:rPr>
          <w:rFonts w:ascii="Century Schoolbook" w:hAnsi="Century Schoolbook"/>
          <w:spacing w:val="-2"/>
          <w:sz w:val="22"/>
          <w:szCs w:val="22"/>
        </w:rPr>
        <w:t>, rather than another person, because of her family connection to her son.</w:t>
      </w:r>
      <w:r w:rsidR="00810FDA" w:rsidRPr="00E53E52">
        <w:rPr>
          <w:rFonts w:ascii="Century Schoolbook" w:hAnsi="Century Schoolbook"/>
          <w:spacing w:val="-2"/>
          <w:sz w:val="22"/>
          <w:szCs w:val="22"/>
        </w:rPr>
        <w:t xml:space="preserve"> </w:t>
      </w:r>
      <w:r w:rsidRPr="00E53E52">
        <w:rPr>
          <w:rFonts w:ascii="Century Schoolbook" w:hAnsi="Century Schoolbook"/>
          <w:spacing w:val="-2"/>
          <w:sz w:val="22"/>
          <w:szCs w:val="22"/>
        </w:rPr>
        <w:t>Thus, * * * there were multiple central reasons for the threats Hernandez received.</w:t>
      </w:r>
    </w:p>
    <w:p w14:paraId="2C8D8B07" w14:textId="333CB7C2" w:rsidR="00AB3C0C" w:rsidRPr="00E53E52" w:rsidRDefault="00AB3C0C" w:rsidP="0036367F">
      <w:pPr>
        <w:pStyle w:val="articalp"/>
        <w:spacing w:after="120" w:line="276" w:lineRule="auto"/>
        <w:ind w:firstLine="720"/>
        <w:jc w:val="both"/>
        <w:rPr>
          <w:rFonts w:ascii="Century Schoolbook" w:hAnsi="Century Schoolbook"/>
          <w:spacing w:val="-2"/>
          <w:sz w:val="22"/>
          <w:szCs w:val="22"/>
        </w:rPr>
      </w:pPr>
      <w:r w:rsidRPr="00E53E52">
        <w:rPr>
          <w:rFonts w:ascii="Century Schoolbook" w:hAnsi="Century Schoolbook"/>
          <w:spacing w:val="-2"/>
          <w:sz w:val="22"/>
          <w:szCs w:val="22"/>
        </w:rPr>
        <w:t>Because any reasonable adjudicator would be compelled to conclude that Hernandez</w:t>
      </w:r>
      <w:r w:rsidR="00C909C4" w:rsidRPr="00E53E52">
        <w:rPr>
          <w:rFonts w:ascii="Century Schoolbook" w:hAnsi="Century Schoolbook"/>
          <w:spacing w:val="-2"/>
          <w:sz w:val="22"/>
          <w:szCs w:val="22"/>
        </w:rPr>
        <w:t>’</w:t>
      </w:r>
      <w:r w:rsidRPr="00E53E52">
        <w:rPr>
          <w:rFonts w:ascii="Century Schoolbook" w:hAnsi="Century Schoolbook"/>
          <w:spacing w:val="-2"/>
          <w:sz w:val="22"/>
          <w:szCs w:val="22"/>
        </w:rPr>
        <w:t>s maternal relationship to her son is at least one central reason for two of the threats she received, we hold that the BIA</w:t>
      </w:r>
      <w:r w:rsidR="00C909C4" w:rsidRPr="00E53E52">
        <w:rPr>
          <w:rFonts w:ascii="Century Schoolbook" w:hAnsi="Century Schoolbook"/>
          <w:spacing w:val="-2"/>
          <w:sz w:val="22"/>
          <w:szCs w:val="22"/>
        </w:rPr>
        <w:t>’</w:t>
      </w:r>
      <w:r w:rsidRPr="00E53E52">
        <w:rPr>
          <w:rFonts w:ascii="Century Schoolbook" w:hAnsi="Century Schoolbook"/>
          <w:spacing w:val="-2"/>
          <w:sz w:val="22"/>
          <w:szCs w:val="22"/>
        </w:rPr>
        <w:t xml:space="preserve">s conclusion that these threats were not made </w:t>
      </w:r>
      <w:r w:rsidR="00C909C4" w:rsidRPr="00E53E52">
        <w:rPr>
          <w:rFonts w:ascii="Century Schoolbook" w:hAnsi="Century Schoolbook"/>
          <w:spacing w:val="-2"/>
          <w:sz w:val="22"/>
          <w:szCs w:val="22"/>
        </w:rPr>
        <w:t>“</w:t>
      </w:r>
      <w:r w:rsidRPr="00E53E52">
        <w:rPr>
          <w:rFonts w:ascii="Century Schoolbook" w:hAnsi="Century Schoolbook"/>
          <w:spacing w:val="-2"/>
          <w:sz w:val="22"/>
          <w:szCs w:val="22"/>
        </w:rPr>
        <w:t>on account of</w:t>
      </w:r>
      <w:r w:rsidR="00C909C4" w:rsidRPr="00E53E52">
        <w:rPr>
          <w:rFonts w:ascii="Century Schoolbook" w:hAnsi="Century Schoolbook"/>
          <w:spacing w:val="-2"/>
          <w:sz w:val="22"/>
          <w:szCs w:val="22"/>
        </w:rPr>
        <w:t>”</w:t>
      </w:r>
      <w:r w:rsidRPr="00E53E52">
        <w:rPr>
          <w:rFonts w:ascii="Century Schoolbook" w:hAnsi="Century Schoolbook"/>
          <w:spacing w:val="-2"/>
          <w:sz w:val="22"/>
          <w:szCs w:val="22"/>
        </w:rPr>
        <w:t xml:space="preserve"> her membership in her nuclear family is manifestly contrary to law and an abuse of discretion. * * * </w:t>
      </w:r>
    </w:p>
    <w:p w14:paraId="4D1B43E3" w14:textId="77777777" w:rsidR="00AB3C0C" w:rsidRPr="00E53E52" w:rsidRDefault="00AB3C0C" w:rsidP="00C61D06">
      <w:pPr>
        <w:pStyle w:val="articalp"/>
        <w:spacing w:line="276" w:lineRule="auto"/>
        <w:jc w:val="center"/>
        <w:rPr>
          <w:rFonts w:ascii="Century Schoolbook" w:hAnsi="Century Schoolbook"/>
          <w:sz w:val="22"/>
          <w:szCs w:val="22"/>
        </w:rPr>
      </w:pPr>
      <w:r w:rsidRPr="00E53E52">
        <w:rPr>
          <w:rFonts w:ascii="Century Schoolbook" w:hAnsi="Century Schoolbook"/>
          <w:sz w:val="22"/>
          <w:szCs w:val="22"/>
        </w:rPr>
        <w:t>* * *</w:t>
      </w:r>
    </w:p>
    <w:p w14:paraId="2A084C15" w14:textId="77777777" w:rsidR="00AB3C0C" w:rsidRPr="00E53E52" w:rsidRDefault="00AB3C0C" w:rsidP="0036367F">
      <w:pPr>
        <w:pStyle w:val="articalp"/>
        <w:spacing w:after="120" w:line="276" w:lineRule="auto"/>
        <w:ind w:firstLine="720"/>
        <w:jc w:val="both"/>
        <w:rPr>
          <w:rFonts w:ascii="Century Schoolbook" w:hAnsi="Century Schoolbook"/>
          <w:sz w:val="22"/>
          <w:szCs w:val="22"/>
        </w:rPr>
      </w:pPr>
      <w:r w:rsidRPr="00E53E52">
        <w:rPr>
          <w:rFonts w:ascii="Century Schoolbook" w:hAnsi="Century Schoolbook"/>
          <w:sz w:val="22"/>
          <w:szCs w:val="22"/>
        </w:rPr>
        <w:t xml:space="preserve">[The court also reviewed the evidence concerning whether the Salvadoran government was unable or unwilling to protect Hernandez-Avalos from the gang members, concluded that it was legally deficient, and held that she had established her eligibility for asylum.] </w:t>
      </w:r>
    </w:p>
    <w:p w14:paraId="1B5B9BB2" w14:textId="275D528B" w:rsidR="00AB3C0C" w:rsidRPr="00E53E52" w:rsidRDefault="00AB3C0C" w:rsidP="0036367F">
      <w:pPr>
        <w:pStyle w:val="articalp"/>
        <w:spacing w:after="120" w:line="276" w:lineRule="auto"/>
        <w:ind w:firstLine="720"/>
        <w:jc w:val="both"/>
        <w:rPr>
          <w:rFonts w:ascii="Century Schoolbook" w:hAnsi="Century Schoolbook"/>
          <w:sz w:val="22"/>
          <w:szCs w:val="22"/>
        </w:rPr>
      </w:pPr>
      <w:r w:rsidRPr="00E53E52">
        <w:rPr>
          <w:rFonts w:ascii="Century Schoolbook" w:hAnsi="Century Schoolbook"/>
          <w:spacing w:val="-2"/>
          <w:sz w:val="22"/>
          <w:szCs w:val="22"/>
        </w:rPr>
        <w:t>For the foregoing reasons, we grant Hernandez</w:t>
      </w:r>
      <w:r w:rsidR="00C909C4" w:rsidRPr="00E53E52">
        <w:rPr>
          <w:rFonts w:ascii="Century Schoolbook" w:hAnsi="Century Schoolbook"/>
          <w:spacing w:val="-2"/>
          <w:sz w:val="22"/>
          <w:szCs w:val="22"/>
        </w:rPr>
        <w:t>’</w:t>
      </w:r>
      <w:r w:rsidRPr="00E53E52">
        <w:rPr>
          <w:rFonts w:ascii="Century Schoolbook" w:hAnsi="Century Schoolbook"/>
          <w:spacing w:val="-2"/>
          <w:sz w:val="22"/>
          <w:szCs w:val="22"/>
        </w:rPr>
        <w:t>s petition for review and remand the case to the BIA for further proceedings consistent with this opinion.</w:t>
      </w:r>
    </w:p>
    <w:p w14:paraId="2470BBE1" w14:textId="77777777" w:rsidR="00AB3C0C" w:rsidRPr="00E53E52" w:rsidRDefault="00D836DF" w:rsidP="001D1D6E">
      <w:pPr>
        <w:spacing w:after="120"/>
        <w:jc w:val="center"/>
        <w:rPr>
          <w:rFonts w:ascii="Century Schoolbook" w:hAnsi="Century Schoolbook" w:cs="Times New Roman"/>
          <w:b/>
        </w:rPr>
      </w:pPr>
      <w:r w:rsidRPr="00E53E52">
        <w:rPr>
          <w:rFonts w:ascii="Century Schoolbook" w:hAnsi="Century Schoolbook" w:cs="Times New Roman"/>
          <w:b/>
        </w:rPr>
        <w:t>_______________</w:t>
      </w:r>
    </w:p>
    <w:p w14:paraId="13E473C5" w14:textId="450D6557" w:rsidR="00C20F78" w:rsidRPr="00E53E52" w:rsidRDefault="00610692" w:rsidP="0036367F">
      <w:pPr>
        <w:pStyle w:val="NoteTextParagraph"/>
        <w:spacing w:before="0" w:after="120" w:line="276" w:lineRule="auto"/>
        <w:ind w:firstLine="720"/>
        <w:rPr>
          <w:sz w:val="22"/>
          <w:szCs w:val="22"/>
        </w:rPr>
      </w:pPr>
      <w:r w:rsidRPr="00E53E52">
        <w:rPr>
          <w:sz w:val="22"/>
          <w:szCs w:val="22"/>
        </w:rPr>
        <w:t xml:space="preserve">Many questioned whether </w:t>
      </w:r>
      <w:r w:rsidR="00A90C63" w:rsidRPr="00E53E52">
        <w:rPr>
          <w:sz w:val="22"/>
          <w:szCs w:val="22"/>
        </w:rPr>
        <w:t>the Fourth Circuit</w:t>
      </w:r>
      <w:r w:rsidR="00C909C4" w:rsidRPr="00E53E52">
        <w:rPr>
          <w:sz w:val="22"/>
          <w:szCs w:val="22"/>
        </w:rPr>
        <w:t>’</w:t>
      </w:r>
      <w:r w:rsidR="00A90C63" w:rsidRPr="00E53E52">
        <w:rPr>
          <w:sz w:val="22"/>
          <w:szCs w:val="22"/>
        </w:rPr>
        <w:t xml:space="preserve">s </w:t>
      </w:r>
      <w:r w:rsidR="00A90C63" w:rsidRPr="00E53E52">
        <w:rPr>
          <w:i/>
          <w:sz w:val="22"/>
          <w:szCs w:val="22"/>
        </w:rPr>
        <w:t xml:space="preserve">Hernandez-Avalos </w:t>
      </w:r>
      <w:r w:rsidR="00A90C63" w:rsidRPr="00E53E52">
        <w:rPr>
          <w:sz w:val="22"/>
          <w:szCs w:val="22"/>
        </w:rPr>
        <w:t xml:space="preserve">ruling </w:t>
      </w:r>
      <w:r w:rsidR="002C616C" w:rsidRPr="00E53E52">
        <w:rPr>
          <w:sz w:val="22"/>
          <w:szCs w:val="22"/>
        </w:rPr>
        <w:t xml:space="preserve">in favor of asylum for a mother of a youth resisting gang recruitment in El Salvador could be reconciled with the </w:t>
      </w:r>
      <w:r w:rsidRPr="00E53E52">
        <w:rPr>
          <w:sz w:val="22"/>
          <w:szCs w:val="22"/>
        </w:rPr>
        <w:t>BIA</w:t>
      </w:r>
      <w:r w:rsidR="00C909C4" w:rsidRPr="00E53E52">
        <w:rPr>
          <w:sz w:val="22"/>
          <w:szCs w:val="22"/>
        </w:rPr>
        <w:t>’</w:t>
      </w:r>
      <w:r w:rsidR="002C616C" w:rsidRPr="00E53E52">
        <w:rPr>
          <w:sz w:val="22"/>
          <w:szCs w:val="22"/>
        </w:rPr>
        <w:t>s conclusion</w:t>
      </w:r>
      <w:r w:rsidRPr="00E53E52">
        <w:rPr>
          <w:sz w:val="22"/>
          <w:szCs w:val="22"/>
        </w:rPr>
        <w:t xml:space="preserve"> in </w:t>
      </w:r>
      <w:r w:rsidRPr="00E53E52">
        <w:rPr>
          <w:i/>
          <w:sz w:val="22"/>
          <w:szCs w:val="22"/>
        </w:rPr>
        <w:t>Matter of M–E–V–G–</w:t>
      </w:r>
      <w:r w:rsidRPr="00E53E52">
        <w:rPr>
          <w:sz w:val="22"/>
          <w:szCs w:val="22"/>
        </w:rPr>
        <w:t xml:space="preserve">that young men who resist recruitment by </w:t>
      </w:r>
      <w:r w:rsidRPr="00E53E52">
        <w:rPr>
          <w:sz w:val="22"/>
          <w:szCs w:val="22"/>
        </w:rPr>
        <w:lastRenderedPageBreak/>
        <w:t>Honduran gangs do not constitute a particular social group</w:t>
      </w:r>
      <w:r w:rsidR="002C616C" w:rsidRPr="00E53E52">
        <w:rPr>
          <w:sz w:val="22"/>
          <w:szCs w:val="22"/>
        </w:rPr>
        <w:t>.</w:t>
      </w:r>
      <w:r w:rsidR="00810FDA" w:rsidRPr="00E53E52">
        <w:rPr>
          <w:sz w:val="22"/>
          <w:szCs w:val="22"/>
        </w:rPr>
        <w:t xml:space="preserve"> </w:t>
      </w:r>
      <w:r w:rsidRPr="00E53E52">
        <w:rPr>
          <w:sz w:val="22"/>
          <w:szCs w:val="22"/>
        </w:rPr>
        <w:t xml:space="preserve">Are </w:t>
      </w:r>
      <w:r w:rsidRPr="00E53E52">
        <w:rPr>
          <w:i/>
          <w:sz w:val="22"/>
          <w:szCs w:val="22"/>
        </w:rPr>
        <w:t>mothers</w:t>
      </w:r>
      <w:r w:rsidRPr="00E53E52">
        <w:rPr>
          <w:sz w:val="22"/>
          <w:szCs w:val="22"/>
        </w:rPr>
        <w:t xml:space="preserve"> (or </w:t>
      </w:r>
      <w:r w:rsidRPr="00E53E52">
        <w:rPr>
          <w:i/>
          <w:sz w:val="22"/>
          <w:szCs w:val="22"/>
        </w:rPr>
        <w:t>families</w:t>
      </w:r>
      <w:r w:rsidRPr="00E53E52">
        <w:rPr>
          <w:sz w:val="22"/>
          <w:szCs w:val="22"/>
        </w:rPr>
        <w:t xml:space="preserve">) more socially distinct than </w:t>
      </w:r>
      <w:r w:rsidRPr="00E53E52">
        <w:rPr>
          <w:i/>
          <w:sz w:val="22"/>
          <w:szCs w:val="22"/>
        </w:rPr>
        <w:t>youth</w:t>
      </w:r>
      <w:r w:rsidRPr="00E53E52">
        <w:rPr>
          <w:sz w:val="22"/>
          <w:szCs w:val="22"/>
        </w:rPr>
        <w:t>? Is it sensible to deny protection to the recruit, but to grant protection to the person who is threatened on account of the recruit?</w:t>
      </w:r>
      <w:r w:rsidR="00810FDA" w:rsidRPr="00E53E52">
        <w:rPr>
          <w:sz w:val="22"/>
          <w:szCs w:val="22"/>
        </w:rPr>
        <w:t xml:space="preserve"> </w:t>
      </w:r>
      <w:r w:rsidR="0025180D" w:rsidRPr="00E53E52">
        <w:rPr>
          <w:sz w:val="22"/>
          <w:szCs w:val="22"/>
        </w:rPr>
        <w:t>Federal courts have come to different conclusions on these issues</w:t>
      </w:r>
      <w:r w:rsidR="00CD6685" w:rsidRPr="00E53E52">
        <w:rPr>
          <w:sz w:val="22"/>
          <w:szCs w:val="22"/>
        </w:rPr>
        <w:t xml:space="preserve">. </w:t>
      </w:r>
      <w:r w:rsidR="004C2558" w:rsidRPr="00E53E52">
        <w:rPr>
          <w:i/>
          <w:sz w:val="22"/>
          <w:szCs w:val="22"/>
        </w:rPr>
        <w:t>Compare Hernandos-Avalos v. Lynch</w:t>
      </w:r>
      <w:r w:rsidR="004C2558" w:rsidRPr="00E53E52">
        <w:rPr>
          <w:sz w:val="22"/>
          <w:szCs w:val="22"/>
        </w:rPr>
        <w:t xml:space="preserve">, </w:t>
      </w:r>
      <w:r w:rsidR="004C2558" w:rsidRPr="00E53E52">
        <w:rPr>
          <w:i/>
          <w:sz w:val="22"/>
          <w:szCs w:val="22"/>
        </w:rPr>
        <w:t>supra</w:t>
      </w:r>
      <w:r w:rsidR="004C2558" w:rsidRPr="00E53E52">
        <w:rPr>
          <w:sz w:val="22"/>
          <w:szCs w:val="22"/>
        </w:rPr>
        <w:t xml:space="preserve">, and </w:t>
      </w:r>
      <w:r w:rsidR="004C2558" w:rsidRPr="00E53E52">
        <w:rPr>
          <w:i/>
          <w:sz w:val="22"/>
          <w:szCs w:val="22"/>
        </w:rPr>
        <w:t>Flores-Rios v. Lynch</w:t>
      </w:r>
      <w:r w:rsidR="004C2558" w:rsidRPr="00E53E52">
        <w:rPr>
          <w:sz w:val="22"/>
          <w:szCs w:val="22"/>
        </w:rPr>
        <w:t>, 807 F. 3d 1123 (9th Cir. 2015) (applicant</w:t>
      </w:r>
      <w:r w:rsidR="00C909C4" w:rsidRPr="00E53E52">
        <w:rPr>
          <w:sz w:val="22"/>
          <w:szCs w:val="22"/>
        </w:rPr>
        <w:t>’</w:t>
      </w:r>
      <w:r w:rsidR="004C2558" w:rsidRPr="00E53E52">
        <w:rPr>
          <w:sz w:val="22"/>
          <w:szCs w:val="22"/>
        </w:rPr>
        <w:t>s family constitutes particular social group when applicant</w:t>
      </w:r>
      <w:r w:rsidR="00C909C4" w:rsidRPr="00E53E52">
        <w:rPr>
          <w:sz w:val="22"/>
          <w:szCs w:val="22"/>
        </w:rPr>
        <w:t>’</w:t>
      </w:r>
      <w:r w:rsidR="004C2558" w:rsidRPr="00E53E52">
        <w:rPr>
          <w:sz w:val="22"/>
          <w:szCs w:val="22"/>
        </w:rPr>
        <w:t xml:space="preserve">s father was killed by gangs) with </w:t>
      </w:r>
      <w:r w:rsidR="004C2558" w:rsidRPr="00E53E52">
        <w:rPr>
          <w:i/>
          <w:sz w:val="22"/>
          <w:szCs w:val="22"/>
        </w:rPr>
        <w:t>Ramirez-Mejia v. Lynch</w:t>
      </w:r>
      <w:r w:rsidR="004C2558" w:rsidRPr="00E53E52">
        <w:rPr>
          <w:sz w:val="22"/>
          <w:szCs w:val="22"/>
        </w:rPr>
        <w:t>, 794 F. 3d 485 (5th Cir. 2015) (brother</w:t>
      </w:r>
      <w:r w:rsidR="00C909C4" w:rsidRPr="00E53E52">
        <w:rPr>
          <w:sz w:val="22"/>
          <w:szCs w:val="22"/>
        </w:rPr>
        <w:t>’</w:t>
      </w:r>
      <w:r w:rsidR="004C2558" w:rsidRPr="00E53E52">
        <w:rPr>
          <w:sz w:val="22"/>
          <w:szCs w:val="22"/>
        </w:rPr>
        <w:t xml:space="preserve">s murder by rival gang does not constitute persecution based on particular social group), </w:t>
      </w:r>
      <w:r w:rsidR="004C2558" w:rsidRPr="00E53E52">
        <w:rPr>
          <w:i/>
          <w:sz w:val="22"/>
          <w:szCs w:val="22"/>
        </w:rPr>
        <w:t>Lin v. Holder</w:t>
      </w:r>
      <w:r w:rsidR="004C2558" w:rsidRPr="00E53E52">
        <w:rPr>
          <w:sz w:val="22"/>
          <w:szCs w:val="22"/>
        </w:rPr>
        <w:t>, 411 F. App</w:t>
      </w:r>
      <w:r w:rsidR="00C909C4" w:rsidRPr="00E53E52">
        <w:rPr>
          <w:sz w:val="22"/>
          <w:szCs w:val="22"/>
        </w:rPr>
        <w:t>’</w:t>
      </w:r>
      <w:r w:rsidR="004C2558" w:rsidRPr="00E53E52">
        <w:rPr>
          <w:sz w:val="22"/>
          <w:szCs w:val="22"/>
        </w:rPr>
        <w:t>x 901 (7th Cir. 2011) (persecution by father</w:t>
      </w:r>
      <w:r w:rsidR="00C909C4" w:rsidRPr="00E53E52">
        <w:rPr>
          <w:sz w:val="22"/>
          <w:szCs w:val="22"/>
        </w:rPr>
        <w:t>’</w:t>
      </w:r>
      <w:r w:rsidR="004C2558" w:rsidRPr="00E53E52">
        <w:rPr>
          <w:sz w:val="22"/>
          <w:szCs w:val="22"/>
        </w:rPr>
        <w:t xml:space="preserve">s creditors is not particular social group-based persecution), and </w:t>
      </w:r>
      <w:r w:rsidR="004C2558" w:rsidRPr="00E53E52">
        <w:rPr>
          <w:i/>
          <w:sz w:val="22"/>
          <w:szCs w:val="22"/>
        </w:rPr>
        <w:t>Malonga v. Holder</w:t>
      </w:r>
      <w:r w:rsidR="004C2558" w:rsidRPr="00E53E52">
        <w:rPr>
          <w:sz w:val="22"/>
          <w:szCs w:val="22"/>
        </w:rPr>
        <w:t>, 621 F. 3d 757 (8th Cir. 2010) (father</w:t>
      </w:r>
      <w:r w:rsidR="00C909C4" w:rsidRPr="00E53E52">
        <w:rPr>
          <w:sz w:val="22"/>
          <w:szCs w:val="22"/>
        </w:rPr>
        <w:t>’</w:t>
      </w:r>
      <w:r w:rsidR="004C2558" w:rsidRPr="00E53E52">
        <w:rPr>
          <w:sz w:val="22"/>
          <w:szCs w:val="22"/>
        </w:rPr>
        <w:t>s death during civil war does not support particular social group claim).</w:t>
      </w:r>
      <w:r w:rsidR="00810FDA" w:rsidRPr="00E53E52">
        <w:rPr>
          <w:sz w:val="22"/>
          <w:szCs w:val="22"/>
        </w:rPr>
        <w:t xml:space="preserve"> </w:t>
      </w:r>
    </w:p>
    <w:p w14:paraId="3E39F58D" w14:textId="43FE8C0C" w:rsidR="00D836DF" w:rsidRPr="00E53E52" w:rsidRDefault="00697FED" w:rsidP="0036367F">
      <w:pPr>
        <w:pStyle w:val="NoteTextParagraph"/>
        <w:spacing w:before="0" w:after="120" w:line="276" w:lineRule="auto"/>
        <w:ind w:firstLine="720"/>
        <w:rPr>
          <w:sz w:val="22"/>
          <w:szCs w:val="22"/>
        </w:rPr>
      </w:pPr>
      <w:r w:rsidRPr="00E53E52">
        <w:rPr>
          <w:sz w:val="22"/>
          <w:szCs w:val="22"/>
        </w:rPr>
        <w:t xml:space="preserve">The circuit split led the BIA </w:t>
      </w:r>
      <w:r w:rsidR="00781B28" w:rsidRPr="00E53E52">
        <w:rPr>
          <w:sz w:val="22"/>
          <w:szCs w:val="22"/>
        </w:rPr>
        <w:t>to invite</w:t>
      </w:r>
      <w:r w:rsidRPr="00E53E52">
        <w:rPr>
          <w:sz w:val="22"/>
          <w:szCs w:val="22"/>
        </w:rPr>
        <w:t xml:space="preserve"> </w:t>
      </w:r>
      <w:r w:rsidR="004869A8" w:rsidRPr="00E53E52">
        <w:rPr>
          <w:sz w:val="22"/>
          <w:szCs w:val="22"/>
        </w:rPr>
        <w:t>supplemental briefing and amicus briefs on the circumstances in which persecution of a family member supports the applicant</w:t>
      </w:r>
      <w:r w:rsidR="00C909C4" w:rsidRPr="00E53E52">
        <w:rPr>
          <w:sz w:val="22"/>
          <w:szCs w:val="22"/>
        </w:rPr>
        <w:t>’</w:t>
      </w:r>
      <w:r w:rsidR="004869A8" w:rsidRPr="00E53E52">
        <w:rPr>
          <w:sz w:val="22"/>
          <w:szCs w:val="22"/>
        </w:rPr>
        <w:t xml:space="preserve">s particular social group claim. DHS filed a supplemental brief contending that it would be sufficient for an applicant to provide evidence that her membership in her immediate family was a central reason for the persecution she feared, and that the applicant would not need to furnish additional evidence that the persecutor targeted the initial family member on account of one of the five protected grounds. DHS Supplemental Brief, </w:t>
      </w:r>
      <w:r w:rsidR="004869A8" w:rsidRPr="00E53E52">
        <w:rPr>
          <w:i/>
          <w:sz w:val="22"/>
          <w:szCs w:val="22"/>
        </w:rPr>
        <w:t>In the Matter of Luis Enrique Alba</w:t>
      </w:r>
      <w:r w:rsidR="004869A8" w:rsidRPr="00E53E52">
        <w:rPr>
          <w:sz w:val="22"/>
          <w:szCs w:val="22"/>
        </w:rPr>
        <w:t>, April 21, 2016. As we go to press, the BIA has not rendered a ruling.</w:t>
      </w:r>
    </w:p>
    <w:p w14:paraId="6C6E83C8" w14:textId="10154457" w:rsidR="00C05FDF" w:rsidRPr="00E53E52" w:rsidRDefault="00C30069" w:rsidP="00C05FDF">
      <w:pPr>
        <w:keepNext/>
        <w:spacing w:after="120"/>
        <w:rPr>
          <w:rFonts w:ascii="Century Schoolbook" w:hAnsi="Century Schoolbook"/>
          <w:b/>
        </w:rPr>
      </w:pPr>
      <w:r w:rsidRPr="00E53E52">
        <w:rPr>
          <w:rFonts w:ascii="Century Schoolbook" w:hAnsi="Century Schoolbook"/>
          <w:b/>
        </w:rPr>
        <w:t xml:space="preserve">After </w:t>
      </w:r>
      <w:r w:rsidR="00C05FDF" w:rsidRPr="00E53E52">
        <w:rPr>
          <w:rFonts w:ascii="Century Schoolbook" w:hAnsi="Century Schoolbook"/>
          <w:b/>
          <w:i/>
          <w:iCs/>
        </w:rPr>
        <w:t>Hernandez-Avalos v. Lynch</w:t>
      </w:r>
      <w:r w:rsidR="00C05FDF" w:rsidRPr="00E53E52">
        <w:rPr>
          <w:rFonts w:ascii="Century Schoolbook" w:hAnsi="Century Schoolbook"/>
          <w:b/>
        </w:rPr>
        <w:t>:</w:t>
      </w:r>
    </w:p>
    <w:p w14:paraId="66C27615" w14:textId="77777777" w:rsidR="00C05FDF" w:rsidRPr="00E53E52" w:rsidRDefault="00C05FDF" w:rsidP="00C05FDF">
      <w:pPr>
        <w:keepNext/>
        <w:spacing w:after="120"/>
        <w:rPr>
          <w:rFonts w:ascii="Century Schoolbook" w:hAnsi="Century Schoolbook"/>
          <w:b/>
          <w:bCs/>
        </w:rPr>
      </w:pPr>
      <w:r w:rsidRPr="00E53E52">
        <w:rPr>
          <w:rFonts w:ascii="Century Schoolbook" w:hAnsi="Century Schoolbook"/>
          <w:b/>
          <w:bCs/>
        </w:rPr>
        <w:t>NOTE TO INSTRUCTORS:</w:t>
      </w:r>
    </w:p>
    <w:p w14:paraId="4D38E928" w14:textId="77777777" w:rsidR="00C05FDF" w:rsidRPr="00E53E52" w:rsidRDefault="00C05FDF" w:rsidP="00C05FDF">
      <w:pPr>
        <w:keepNext/>
        <w:spacing w:after="120"/>
        <w:jc w:val="both"/>
        <w:rPr>
          <w:rFonts w:ascii="Century Schoolbook" w:hAnsi="Century Schoolbook"/>
          <w:b/>
        </w:rPr>
      </w:pPr>
      <w:r w:rsidRPr="00E53E52">
        <w:rPr>
          <w:rFonts w:ascii="Century Schoolbook" w:hAnsi="Century Schoolbook"/>
          <w:b/>
        </w:rPr>
        <w:t xml:space="preserve">Option 1: Instructors may choose to cover </w:t>
      </w:r>
      <w:r w:rsidRPr="00E53E52">
        <w:rPr>
          <w:rFonts w:ascii="Century Schoolbook" w:hAnsi="Century Schoolbook"/>
          <w:b/>
          <w:i/>
          <w:iCs/>
        </w:rPr>
        <w:t>Matter of L-E-A-</w:t>
      </w:r>
      <w:r w:rsidRPr="00E53E52">
        <w:rPr>
          <w:rFonts w:ascii="Century Schoolbook" w:hAnsi="Century Schoolbook"/>
          <w:b/>
        </w:rPr>
        <w:t xml:space="preserve"> here because it addresses membership in a particular social group. It also refers back to </w:t>
      </w:r>
      <w:r w:rsidRPr="00E53E52">
        <w:rPr>
          <w:rFonts w:ascii="Century Schoolbook" w:hAnsi="Century Schoolbook"/>
          <w:b/>
          <w:i/>
          <w:iCs/>
        </w:rPr>
        <w:t xml:space="preserve">Matter of A-B- </w:t>
      </w:r>
      <w:r w:rsidRPr="00E53E52">
        <w:rPr>
          <w:rFonts w:ascii="Century Schoolbook" w:hAnsi="Century Schoolbook"/>
          <w:b/>
        </w:rPr>
        <w:t xml:space="preserve">and comments on domestic violence and gang cases more broadly. </w:t>
      </w:r>
    </w:p>
    <w:p w14:paraId="1B558218" w14:textId="77777777" w:rsidR="00C05FDF" w:rsidRPr="00E53E52" w:rsidRDefault="00C05FDF" w:rsidP="00C05FDF">
      <w:pPr>
        <w:keepNext/>
        <w:spacing w:after="120"/>
        <w:jc w:val="both"/>
        <w:rPr>
          <w:rFonts w:ascii="Century Schoolbook" w:hAnsi="Century Schoolbook"/>
          <w:b/>
        </w:rPr>
      </w:pPr>
      <w:r w:rsidRPr="00E53E52">
        <w:rPr>
          <w:rFonts w:ascii="Century Schoolbook" w:hAnsi="Century Schoolbook"/>
          <w:b/>
        </w:rPr>
        <w:t xml:space="preserve">Option 2: Instructors may wish to substitute </w:t>
      </w:r>
      <w:r w:rsidRPr="00E53E52">
        <w:rPr>
          <w:rFonts w:ascii="Century Schoolbook" w:hAnsi="Century Schoolbook"/>
          <w:b/>
          <w:i/>
          <w:iCs/>
        </w:rPr>
        <w:t>Matter of L-E-A-</w:t>
      </w:r>
      <w:r w:rsidRPr="00E53E52">
        <w:rPr>
          <w:rFonts w:ascii="Century Schoolbook" w:hAnsi="Century Schoolbook"/>
          <w:b/>
        </w:rPr>
        <w:t xml:space="preserve"> for </w:t>
      </w:r>
      <w:r w:rsidRPr="00E53E52">
        <w:rPr>
          <w:rFonts w:ascii="Century Schoolbook" w:hAnsi="Century Schoolbook"/>
          <w:b/>
          <w:i/>
          <w:iCs/>
        </w:rPr>
        <w:t>Matter of A-B-</w:t>
      </w:r>
      <w:r w:rsidRPr="00E53E52">
        <w:rPr>
          <w:rFonts w:ascii="Century Schoolbook" w:hAnsi="Century Schoolbook"/>
          <w:b/>
        </w:rPr>
        <w:t xml:space="preserve"> and/or </w:t>
      </w:r>
      <w:r w:rsidRPr="00E53E52">
        <w:rPr>
          <w:rFonts w:ascii="Century Schoolbook" w:hAnsi="Century Schoolbook"/>
          <w:b/>
          <w:i/>
          <w:iCs/>
        </w:rPr>
        <w:t>Matter of A-R-C-G</w:t>
      </w:r>
      <w:r w:rsidRPr="00E53E52">
        <w:rPr>
          <w:rFonts w:ascii="Century Schoolbook" w:hAnsi="Century Schoolbook"/>
          <w:b/>
        </w:rPr>
        <w:t xml:space="preserve">, which </w:t>
      </w:r>
      <w:r w:rsidRPr="00E53E52">
        <w:rPr>
          <w:rFonts w:ascii="Century Schoolbook" w:hAnsi="Century Schoolbook"/>
          <w:b/>
          <w:i/>
          <w:iCs/>
        </w:rPr>
        <w:t>Matter of A-B-</w:t>
      </w:r>
      <w:r w:rsidRPr="00E53E52">
        <w:rPr>
          <w:rFonts w:ascii="Century Schoolbook" w:hAnsi="Century Schoolbook"/>
          <w:b/>
        </w:rPr>
        <w:t xml:space="preserve"> overrules, or instead to cover </w:t>
      </w:r>
      <w:r w:rsidRPr="00E53E52">
        <w:rPr>
          <w:rFonts w:ascii="Century Schoolbook" w:hAnsi="Century Schoolbook"/>
          <w:b/>
          <w:i/>
          <w:iCs/>
        </w:rPr>
        <w:t>Matter of A-R-C-G-</w:t>
      </w:r>
      <w:r w:rsidRPr="00E53E52">
        <w:rPr>
          <w:rFonts w:ascii="Century Schoolbook" w:hAnsi="Century Schoolbook"/>
          <w:b/>
        </w:rPr>
        <w:t xml:space="preserve"> as a point of comparison with </w:t>
      </w:r>
      <w:r w:rsidRPr="00E53E52">
        <w:rPr>
          <w:rFonts w:ascii="Century Schoolbook" w:hAnsi="Century Schoolbook"/>
          <w:b/>
          <w:i/>
          <w:iCs/>
        </w:rPr>
        <w:t>Matter of L-E-A-</w:t>
      </w:r>
      <w:r w:rsidRPr="00E53E52">
        <w:rPr>
          <w:rFonts w:ascii="Century Schoolbook" w:hAnsi="Century Schoolbook"/>
          <w:b/>
        </w:rPr>
        <w:t xml:space="preserve">. </w:t>
      </w:r>
    </w:p>
    <w:p w14:paraId="3A6C8F09" w14:textId="77777777" w:rsidR="00C05FDF" w:rsidRPr="00E53E52" w:rsidRDefault="00C05FDF" w:rsidP="00C05FDF">
      <w:pPr>
        <w:spacing w:after="120"/>
        <w:ind w:firstLine="720"/>
        <w:jc w:val="both"/>
        <w:rPr>
          <w:rFonts w:ascii="Century Schoolbook" w:hAnsi="Century Schoolbook"/>
        </w:rPr>
      </w:pPr>
      <w:r w:rsidRPr="00E53E52">
        <w:rPr>
          <w:rFonts w:ascii="Century Schoolbook" w:hAnsi="Century Schoolbook"/>
        </w:rPr>
        <w:t>Gang-related violence has continued to generate asylum claims. In December 2018, Acting Attorney General Matthew Whitaker referred the decision in the following case to himself for decision. Parties and interested amici were invited to submit briefs on issues in the case, including “</w:t>
      </w:r>
      <w:r w:rsidRPr="00E53E52">
        <w:rPr>
          <w:rFonts w:ascii="Century Schoolbook" w:hAnsi="Century Schoolbook"/>
          <w:i/>
          <w:iCs/>
        </w:rPr>
        <w:t>Whether and under what circumstances, an alien may establish persecution on account of membership in a 'particular social group' under [INA 101(a)(42)(A)] based on the alien's membership in a family unit</w:t>
      </w:r>
      <w:r w:rsidRPr="00E53E52">
        <w:rPr>
          <w:rFonts w:ascii="Century Schoolbook" w:hAnsi="Century Schoolbook"/>
        </w:rPr>
        <w:t>.” In July 2019, Attorney General William Barr issued the following opinion.</w:t>
      </w:r>
    </w:p>
    <w:p w14:paraId="71B82E93" w14:textId="77777777" w:rsidR="00C05FDF" w:rsidRPr="00E53E52" w:rsidRDefault="00C05FDF" w:rsidP="00C05FDF">
      <w:pPr>
        <w:pStyle w:val="BodyText"/>
        <w:keepNext/>
        <w:widowControl/>
        <w:spacing w:after="120"/>
        <w:ind w:firstLine="0"/>
        <w:jc w:val="center"/>
        <w:rPr>
          <w:rFonts w:ascii="Century Schoolbook" w:hAnsi="Century Schoolbook" w:cs="Georgia"/>
          <w:b/>
          <w:color w:val="252525"/>
          <w:sz w:val="24"/>
          <w:szCs w:val="24"/>
        </w:rPr>
      </w:pPr>
      <w:r w:rsidRPr="00E53E52">
        <w:rPr>
          <w:rFonts w:ascii="Century Schoolbook" w:hAnsi="Century Schoolbook" w:cs="Georgia"/>
          <w:b/>
          <w:color w:val="252525"/>
          <w:sz w:val="24"/>
          <w:szCs w:val="24"/>
        </w:rPr>
        <w:t>MATTER OF L-E-A-</w:t>
      </w:r>
    </w:p>
    <w:p w14:paraId="41DFA33B" w14:textId="77777777" w:rsidR="00C05FDF" w:rsidRPr="00E53E52" w:rsidRDefault="00C05FDF" w:rsidP="00C05FDF">
      <w:pPr>
        <w:pStyle w:val="BodyText"/>
        <w:keepNext/>
        <w:widowControl/>
        <w:spacing w:after="120"/>
        <w:ind w:firstLine="0"/>
        <w:jc w:val="center"/>
        <w:rPr>
          <w:rFonts w:ascii="Century Schoolbook" w:hAnsi="Century Schoolbook" w:cs="Georgia"/>
          <w:color w:val="000000"/>
          <w:sz w:val="20"/>
          <w:szCs w:val="20"/>
        </w:rPr>
      </w:pPr>
      <w:r w:rsidRPr="00E53E52">
        <w:rPr>
          <w:rFonts w:ascii="Century Schoolbook" w:hAnsi="Century Schoolbook" w:cs="Georgia"/>
          <w:color w:val="000000"/>
          <w:sz w:val="20"/>
          <w:szCs w:val="20"/>
        </w:rPr>
        <w:t>Attorney General, 2019</w:t>
      </w:r>
      <w:r w:rsidRPr="00E53E52">
        <w:rPr>
          <w:rFonts w:ascii="Century Schoolbook" w:hAnsi="Century Schoolbook" w:cs="Georgia"/>
          <w:color w:val="000000"/>
          <w:sz w:val="20"/>
          <w:szCs w:val="20"/>
        </w:rPr>
        <w:br/>
        <w:t>27 I &amp; N Dec. 581</w:t>
      </w:r>
    </w:p>
    <w:p w14:paraId="3B85E294" w14:textId="77777777" w:rsidR="00C05FDF" w:rsidRPr="00E53E52" w:rsidRDefault="00C05FDF" w:rsidP="00C05FDF">
      <w:pPr>
        <w:pStyle w:val="BodyText"/>
        <w:widowControl/>
        <w:spacing w:after="0"/>
        <w:ind w:firstLine="0"/>
        <w:jc w:val="center"/>
        <w:rPr>
          <w:rFonts w:ascii="Century Schoolbook" w:hAnsi="Century Schoolbook"/>
          <w:color w:val="000000"/>
        </w:rPr>
      </w:pPr>
      <w:r w:rsidRPr="00E53E52">
        <w:rPr>
          <w:rFonts w:ascii="Century Schoolbook" w:hAnsi="Century Schoolbook"/>
          <w:color w:val="000000"/>
        </w:rPr>
        <w:t>* * *</w:t>
      </w:r>
    </w:p>
    <w:p w14:paraId="1A5220EF" w14:textId="77777777" w:rsidR="00C05FDF" w:rsidRPr="00E53E52" w:rsidRDefault="00C05FDF" w:rsidP="00C05FDF">
      <w:pPr>
        <w:pStyle w:val="BodyText"/>
        <w:widowControl/>
        <w:spacing w:after="120"/>
        <w:ind w:firstLine="0"/>
        <w:jc w:val="center"/>
        <w:rPr>
          <w:rFonts w:ascii="Century Schoolbook" w:hAnsi="Century Schoolbook"/>
          <w:color w:val="000000"/>
        </w:rPr>
      </w:pPr>
      <w:r w:rsidRPr="00E53E52">
        <w:rPr>
          <w:rFonts w:ascii="Century Schoolbook" w:hAnsi="Century Schoolbook"/>
          <w:color w:val="000000"/>
        </w:rPr>
        <w:t>BEFORE THE ATTORNEY GENERAL</w:t>
      </w:r>
    </w:p>
    <w:p w14:paraId="5BC62A25" w14:textId="77777777" w:rsidR="00C05FDF" w:rsidRPr="00E53E52" w:rsidRDefault="00C05FDF" w:rsidP="00C05FDF">
      <w:pPr>
        <w:pStyle w:val="BodyText"/>
        <w:widowControl/>
        <w:spacing w:after="120"/>
        <w:ind w:firstLine="720"/>
        <w:rPr>
          <w:rFonts w:ascii="Century Schoolbook" w:hAnsi="Century Schoolbook"/>
          <w:color w:val="000000"/>
        </w:rPr>
      </w:pPr>
      <w:r w:rsidRPr="00E53E52">
        <w:rPr>
          <w:rFonts w:ascii="Century Schoolbook" w:hAnsi="Century Schoolbook"/>
          <w:color w:val="000000"/>
        </w:rPr>
        <w:lastRenderedPageBreak/>
        <w:t>* * * This case once again requires interpretation of what it means to suffer persecution on account of “membership in a particular social group” * * *.</w:t>
      </w:r>
    </w:p>
    <w:p w14:paraId="5C4BA58E" w14:textId="77777777" w:rsidR="00C05FDF" w:rsidRPr="00E53E52" w:rsidRDefault="00C05FDF" w:rsidP="00C05FDF">
      <w:pPr>
        <w:pStyle w:val="BodyText"/>
        <w:widowControl/>
        <w:spacing w:after="120"/>
        <w:ind w:firstLine="720"/>
        <w:rPr>
          <w:rFonts w:ascii="Century Schoolbook" w:hAnsi="Century Schoolbook"/>
          <w:color w:val="000000"/>
        </w:rPr>
      </w:pPr>
      <w:r w:rsidRPr="00E53E52">
        <w:rPr>
          <w:rFonts w:ascii="Century Schoolbook" w:hAnsi="Century Schoolbook"/>
          <w:color w:val="000000"/>
        </w:rPr>
        <w:t xml:space="preserve">The respondent contends that he was persecuted by a criminal gang on account of his membership in the “particular social group” defined as the “immediate family of his father,” who owned a store targeted by a local drug cartel. Under existing Board precedent, a particular social group must share “a common immutable characteristic” that is defined with particularity and “set apart, or distinct, from other persons within the society in some significant way.” The alien bears the burden of showing that his proposed group meets these criteria, and he will not satisfy that burden solely by showing that his social group has been the target of private criminal activity. The fact that a criminal group—such as a drug cartel, gang, or guerrilla force—targets a group of people does not, standing alone, transform those people into a particular social group. </w:t>
      </w:r>
    </w:p>
    <w:p w14:paraId="5D1B29CD" w14:textId="77777777" w:rsidR="00C05FDF" w:rsidRPr="00E53E52" w:rsidRDefault="00C05FDF" w:rsidP="00C05FDF">
      <w:pPr>
        <w:pStyle w:val="BodyText"/>
        <w:widowControl/>
        <w:spacing w:after="120"/>
        <w:ind w:firstLine="720"/>
        <w:rPr>
          <w:rFonts w:ascii="Century Schoolbook" w:hAnsi="Century Schoolbook"/>
          <w:color w:val="000000"/>
        </w:rPr>
      </w:pPr>
      <w:r w:rsidRPr="00E53E52">
        <w:rPr>
          <w:rFonts w:ascii="Century Schoolbook" w:hAnsi="Century Schoolbook"/>
          <w:color w:val="000000"/>
        </w:rPr>
        <w:t xml:space="preserve">At the same time, the Board has recognized that a clan or similar group bound together by common ancestry, cultural ties, or language </w:t>
      </w:r>
      <w:r w:rsidRPr="00E53E52">
        <w:rPr>
          <w:rFonts w:ascii="Century Schoolbook" w:hAnsi="Century Schoolbook"/>
          <w:i/>
          <w:iCs/>
          <w:color w:val="000000"/>
        </w:rPr>
        <w:t>may</w:t>
      </w:r>
      <w:r w:rsidRPr="00E53E52">
        <w:rPr>
          <w:rFonts w:ascii="Century Schoolbook" w:hAnsi="Century Schoolbook"/>
          <w:color w:val="000000"/>
        </w:rPr>
        <w:t xml:space="preserve"> constitute a “particular social group.” But what qualifies certain clans or kinship groups as particular social groups is not merely the genetic ties among the members. Rather, it is that those ties or other salient factors establish the kinship group, on its own terms, as a “recognized component of the society in question.” In that respect, the large and prominent kinship and clan groups that have been recognized by the Board as cognizable particular social groups stand on a very different footing from an alien’s immediate family, which generally will not be distinct on a societal scale, whether or not it attracts the attention of criminals who seek to exploit that family relationship in the service of their crimes.</w:t>
      </w:r>
    </w:p>
    <w:p w14:paraId="761F88EB" w14:textId="77777777" w:rsidR="00C05FDF" w:rsidRPr="00E53E52" w:rsidRDefault="00C05FDF" w:rsidP="00C05FDF">
      <w:pPr>
        <w:pStyle w:val="BodyText"/>
        <w:widowControl/>
        <w:spacing w:after="120"/>
        <w:ind w:firstLine="720"/>
        <w:rPr>
          <w:rFonts w:ascii="Century Schoolbook" w:hAnsi="Century Schoolbook"/>
          <w:color w:val="000000"/>
        </w:rPr>
      </w:pPr>
      <w:r w:rsidRPr="00E53E52">
        <w:rPr>
          <w:rFonts w:ascii="Century Schoolbook" w:hAnsi="Century Schoolbook"/>
          <w:color w:val="000000"/>
        </w:rPr>
        <w:t>Consistent with these prior decisions, I conclude that an alien’s family-based group will not constitute a particular social group unless it has been shown to be socially distinct in the eyes of its society, not just those of its alleged persecutor. Because the record does not support the determination in this case that the immediate family of the respondent’s father constituted a particular social group, I reverse the Board’s conclusion to the contrary.</w:t>
      </w:r>
    </w:p>
    <w:p w14:paraId="32D48B58" w14:textId="77777777" w:rsidR="00C05FDF" w:rsidRPr="00E53E52" w:rsidRDefault="00C05FDF" w:rsidP="00C05FDF">
      <w:pPr>
        <w:pStyle w:val="BodyText"/>
        <w:keepNext/>
        <w:widowControl/>
        <w:spacing w:after="120"/>
        <w:ind w:firstLine="0"/>
        <w:jc w:val="center"/>
        <w:rPr>
          <w:rFonts w:ascii="Century Schoolbook" w:hAnsi="Century Schoolbook"/>
          <w:color w:val="000000"/>
        </w:rPr>
      </w:pPr>
      <w:r w:rsidRPr="00E53E52">
        <w:rPr>
          <w:rFonts w:ascii="Century Schoolbook" w:hAnsi="Century Schoolbook"/>
          <w:color w:val="000000"/>
        </w:rPr>
        <w:t>I.</w:t>
      </w:r>
    </w:p>
    <w:p w14:paraId="1EF27F12" w14:textId="77777777" w:rsidR="00C05FDF" w:rsidRPr="00E53E52" w:rsidRDefault="00C05FDF" w:rsidP="00C05FDF">
      <w:pPr>
        <w:pStyle w:val="BodyText"/>
        <w:widowControl/>
        <w:spacing w:after="120"/>
        <w:ind w:firstLine="720"/>
        <w:rPr>
          <w:rFonts w:ascii="Century Schoolbook" w:hAnsi="Century Schoolbook"/>
          <w:color w:val="000000"/>
        </w:rPr>
      </w:pPr>
      <w:r w:rsidRPr="00E53E52">
        <w:rPr>
          <w:rFonts w:ascii="Century Schoolbook" w:hAnsi="Century Schoolbook"/>
          <w:color w:val="000000"/>
        </w:rPr>
        <w:t>In 1998, the respondent, a Mexican citizen, illegally entered the United States. After a criminal conviction for driving under the influence, the Department of Homeland Security (“DHS”) initiated removal proceedings. The respondent accepted voluntary departure and returned to Mexico in May 2011. But he did not stay there long. By August 2011, the respondent had again illegally returned to the United States. DHS apprehended him and commenced removal proceedings. The respondent conceded removability, but this time sought asylum based upon a claim of persecution allegedly suffered during his brief return to Mexico.</w:t>
      </w:r>
    </w:p>
    <w:p w14:paraId="58018FAF" w14:textId="77777777" w:rsidR="00C05FDF" w:rsidRPr="00E53E52" w:rsidRDefault="00C05FDF" w:rsidP="00C05FDF">
      <w:pPr>
        <w:pStyle w:val="BodyText"/>
        <w:widowControl/>
        <w:spacing w:after="120"/>
        <w:ind w:firstLine="720"/>
        <w:rPr>
          <w:rFonts w:ascii="Century Schoolbook" w:hAnsi="Century Schoolbook"/>
          <w:color w:val="000000"/>
        </w:rPr>
      </w:pPr>
      <w:r w:rsidRPr="00E53E52">
        <w:rPr>
          <w:rFonts w:ascii="Century Schoolbook" w:hAnsi="Century Schoolbook"/>
          <w:color w:val="000000"/>
        </w:rPr>
        <w:t xml:space="preserve">According to the respondent, upon returning to Mexico, he had gone to live with his parents in Mexico City. His father operated a neighborhood general store there, but he had run afoul of La Familia Michoacana, a Mexican drug cartel. Because his father refused to sell the cartel’s drugs out of his store, the drug dealers evidently decided to retaliate against the </w:t>
      </w:r>
      <w:r w:rsidRPr="00E53E52">
        <w:rPr>
          <w:rFonts w:ascii="Century Schoolbook" w:hAnsi="Century Schoolbook"/>
          <w:color w:val="000000"/>
        </w:rPr>
        <w:lastRenderedPageBreak/>
        <w:t>respondent upon his return. About a week after returning to Mexico City, the respondent was walking a few blocks from his home when he heard gunshots coming out of a black sport-utility vehicle. He dropped down to the ground and was unharmed. Although the respondent did not initially believe that he was the target of the shooting, he later concluded that he was, based upon the cartel’s subsequent actions.</w:t>
      </w:r>
    </w:p>
    <w:p w14:paraId="4EF2049D" w14:textId="77777777" w:rsidR="00C05FDF" w:rsidRPr="00E53E52" w:rsidRDefault="00C05FDF" w:rsidP="00C05FDF">
      <w:pPr>
        <w:pStyle w:val="BodyText"/>
        <w:widowControl/>
        <w:spacing w:after="120"/>
        <w:ind w:firstLine="720"/>
        <w:rPr>
          <w:rFonts w:ascii="Century Schoolbook" w:hAnsi="Century Schoolbook"/>
          <w:color w:val="000000"/>
        </w:rPr>
      </w:pPr>
      <w:r w:rsidRPr="00E53E52">
        <w:rPr>
          <w:rFonts w:ascii="Century Schoolbook" w:hAnsi="Century Schoolbook"/>
          <w:color w:val="000000"/>
        </w:rPr>
        <w:t>About a week later, four armed cartel members, driving the same black sport-utility vehicle, approached the respondent and asked him to agree to sell the cartel’s drugs at his father’s store. When the respondent declined, the cartel members threatened him and advised him to reconsider. Shortly thereafter, four masked men, in the same sport-utility vehicle, attempted to kidnap the respondent, but he managed to escape. After that incident, the respondent left Mexico City for Tijuana, where two months later, he illegally crossed back into the United States and was thereafter apprehended.</w:t>
      </w:r>
    </w:p>
    <w:p w14:paraId="35A7E549" w14:textId="77777777" w:rsidR="00C05FDF" w:rsidRPr="00E53E52" w:rsidRDefault="00C05FDF" w:rsidP="00C05FDF">
      <w:pPr>
        <w:pStyle w:val="BodyText"/>
        <w:widowControl/>
        <w:spacing w:after="120"/>
        <w:ind w:firstLine="720"/>
        <w:rPr>
          <w:rFonts w:ascii="Century Schoolbook" w:hAnsi="Century Schoolbook"/>
          <w:color w:val="000000"/>
        </w:rPr>
      </w:pPr>
      <w:r w:rsidRPr="00E53E52">
        <w:rPr>
          <w:rFonts w:ascii="Century Schoolbook" w:hAnsi="Century Schoolbook"/>
          <w:color w:val="000000"/>
        </w:rPr>
        <w:t>In his removal proceeding, the respondent claimed persecution in Mexico based on his membership in the particular social group comprising his father’s immediate family. The immigration judge denied relief on the ground that the respondent had not shown he was the victim of anything more than criminal activity.</w:t>
      </w:r>
    </w:p>
    <w:p w14:paraId="0513EABA" w14:textId="77777777" w:rsidR="00C05FDF" w:rsidRPr="00E53E52" w:rsidRDefault="00C05FDF" w:rsidP="00C05FDF">
      <w:pPr>
        <w:pStyle w:val="BodyText"/>
        <w:widowControl/>
        <w:spacing w:after="120"/>
        <w:ind w:firstLine="720"/>
        <w:rPr>
          <w:rFonts w:ascii="Century Schoolbook" w:hAnsi="Century Schoolbook"/>
          <w:color w:val="000000"/>
        </w:rPr>
      </w:pPr>
      <w:r w:rsidRPr="00E53E52">
        <w:rPr>
          <w:rFonts w:ascii="Century Schoolbook" w:hAnsi="Century Schoolbook"/>
          <w:color w:val="000000"/>
        </w:rPr>
        <w:t xml:space="preserve">On appeal, the Board found that the respondent’s relationship with his father established membership in a particular social group, namely “his father’s immediate family.” In reaching that conclusion, the Board relied upon DHS’s concession “that the immediate family unit of the respondent’s father qualifies as a cognizable social group.” The Board recognized that, under the relevant precedents, a family-related group must satisfy the requirements of particularity and social distinction to qualify as a “particular social group” under the INA. And the Board noted that such a determination requires “a fact-based inquiry made on a case-by-case basis,” and will not be satisfied by “all social groups that involve family members.” But the Board did not perform such an inquiry; instead, it summarily concluded that “[i]n consideration of the facts of this case </w:t>
      </w:r>
      <w:r w:rsidRPr="00E53E52">
        <w:rPr>
          <w:rFonts w:ascii="Century Schoolbook" w:hAnsi="Century Schoolbook"/>
          <w:i/>
          <w:iCs/>
          <w:color w:val="000000"/>
        </w:rPr>
        <w:t>and the agreement of the parties</w:t>
      </w:r>
      <w:r w:rsidRPr="00E53E52">
        <w:rPr>
          <w:rFonts w:ascii="Century Schoolbook" w:hAnsi="Century Schoolbook"/>
          <w:color w:val="000000"/>
        </w:rPr>
        <w:t>, we have no difficulty identifying the respondent, a son residing in his father’s home, as being a member of the particular social group comprised of his father’s immediate family.” (emphasis added).</w:t>
      </w:r>
    </w:p>
    <w:p w14:paraId="6820A6CD" w14:textId="77777777" w:rsidR="00C05FDF" w:rsidRPr="00E53E52" w:rsidRDefault="00C05FDF" w:rsidP="00C05FDF">
      <w:pPr>
        <w:pStyle w:val="BodyText"/>
        <w:widowControl/>
        <w:spacing w:after="120"/>
        <w:ind w:firstLine="720"/>
        <w:rPr>
          <w:rFonts w:ascii="Century Schoolbook" w:hAnsi="Century Schoolbook"/>
          <w:color w:val="000000"/>
        </w:rPr>
      </w:pPr>
      <w:r w:rsidRPr="00E53E52">
        <w:rPr>
          <w:rFonts w:ascii="Century Schoolbook" w:hAnsi="Century Schoolbook"/>
          <w:color w:val="000000"/>
        </w:rPr>
        <w:t>Although it approved the claimed social group, the Board denied the respondent’s asylum application because of the absence of the necessary nexus between his membership in the group and the persecution. * * *</w:t>
      </w:r>
    </w:p>
    <w:p w14:paraId="47AC0061" w14:textId="77777777" w:rsidR="00C05FDF" w:rsidRPr="00E53E52" w:rsidRDefault="00C05FDF" w:rsidP="00C05FDF">
      <w:pPr>
        <w:pStyle w:val="BodyText"/>
        <w:widowControl/>
        <w:spacing w:after="0"/>
        <w:ind w:firstLine="0"/>
        <w:jc w:val="center"/>
        <w:rPr>
          <w:rFonts w:ascii="Century Schoolbook" w:hAnsi="Century Schoolbook"/>
          <w:color w:val="000000"/>
        </w:rPr>
      </w:pPr>
      <w:r w:rsidRPr="00E53E52">
        <w:rPr>
          <w:rFonts w:ascii="Century Schoolbook" w:hAnsi="Century Schoolbook"/>
          <w:color w:val="000000"/>
        </w:rPr>
        <w:t>* * *</w:t>
      </w:r>
    </w:p>
    <w:p w14:paraId="2C977762" w14:textId="77777777" w:rsidR="00C05FDF" w:rsidRPr="00E53E52" w:rsidRDefault="00C05FDF" w:rsidP="00C05FDF">
      <w:pPr>
        <w:pStyle w:val="BodyText"/>
        <w:keepNext/>
        <w:widowControl/>
        <w:spacing w:after="120"/>
        <w:ind w:firstLine="0"/>
        <w:jc w:val="center"/>
        <w:rPr>
          <w:rFonts w:ascii="Century Schoolbook" w:hAnsi="Century Schoolbook"/>
          <w:color w:val="000000"/>
        </w:rPr>
      </w:pPr>
      <w:r w:rsidRPr="00E53E52">
        <w:rPr>
          <w:rFonts w:ascii="Century Schoolbook" w:hAnsi="Century Schoolbook"/>
          <w:color w:val="000000"/>
        </w:rPr>
        <w:t>II.</w:t>
      </w:r>
    </w:p>
    <w:p w14:paraId="49CBC4E4" w14:textId="77777777" w:rsidR="00C05FDF" w:rsidRPr="00E53E52" w:rsidRDefault="00C05FDF" w:rsidP="00C05FDF">
      <w:pPr>
        <w:pStyle w:val="BodyText"/>
        <w:widowControl/>
        <w:spacing w:after="120"/>
        <w:ind w:firstLine="720"/>
        <w:rPr>
          <w:rFonts w:ascii="Century Schoolbook" w:hAnsi="Century Schoolbook"/>
          <w:color w:val="000000"/>
        </w:rPr>
      </w:pPr>
      <w:r w:rsidRPr="00E53E52">
        <w:rPr>
          <w:rFonts w:ascii="Century Schoolbook" w:hAnsi="Century Schoolbook"/>
          <w:color w:val="000000"/>
        </w:rPr>
        <w:t xml:space="preserve"> [The Attorney General disposed of several challenges to jurisdiction and his authority to review the case.]</w:t>
      </w:r>
    </w:p>
    <w:p w14:paraId="294D33F3" w14:textId="77777777" w:rsidR="00C05FDF" w:rsidRPr="00E53E52" w:rsidRDefault="00C05FDF" w:rsidP="00C05FDF">
      <w:pPr>
        <w:pStyle w:val="BodyText"/>
        <w:keepNext/>
        <w:widowControl/>
        <w:spacing w:after="120"/>
        <w:ind w:firstLine="0"/>
        <w:jc w:val="center"/>
        <w:rPr>
          <w:rFonts w:ascii="Century Schoolbook" w:hAnsi="Century Schoolbook"/>
          <w:color w:val="000000"/>
        </w:rPr>
      </w:pPr>
      <w:r w:rsidRPr="00E53E52">
        <w:rPr>
          <w:rFonts w:ascii="Century Schoolbook" w:hAnsi="Century Schoolbook"/>
          <w:color w:val="000000"/>
        </w:rPr>
        <w:t>III.</w:t>
      </w:r>
    </w:p>
    <w:p w14:paraId="11CEB1F2" w14:textId="77777777" w:rsidR="00C05FDF" w:rsidRPr="00E53E52" w:rsidRDefault="00C05FDF" w:rsidP="00C05FDF">
      <w:pPr>
        <w:pStyle w:val="BodyText"/>
        <w:widowControl/>
        <w:spacing w:after="120"/>
        <w:ind w:firstLine="720"/>
        <w:rPr>
          <w:rFonts w:ascii="Century Schoolbook" w:hAnsi="Century Schoolbook"/>
          <w:color w:val="000000"/>
        </w:rPr>
      </w:pPr>
      <w:r w:rsidRPr="00E53E52">
        <w:rPr>
          <w:rFonts w:ascii="Century Schoolbook" w:hAnsi="Century Schoolbook"/>
          <w:color w:val="000000"/>
        </w:rPr>
        <w:t>Turning now to the merits, I conclude that the Board erred in finding that the respondent’s purported social group—the members of his father’s immediate family—</w:t>
      </w:r>
      <w:r w:rsidRPr="00E53E52">
        <w:rPr>
          <w:rFonts w:ascii="Century Schoolbook" w:hAnsi="Century Schoolbook"/>
          <w:color w:val="000000"/>
        </w:rPr>
        <w:lastRenderedPageBreak/>
        <w:t>qualified as a “particular social group” under the INA. * * * An applicant must establish that his specific family group is defined with sufficient particularity and is socially distinct in his society. In the ordinary case, a family group will not meet that standard, because it will not have the kind of identifying characteristics that render the family socially distinct within the society in question. * * *</w:t>
      </w:r>
    </w:p>
    <w:p w14:paraId="418D3B06" w14:textId="77777777" w:rsidR="00C05FDF" w:rsidRPr="00E53E52" w:rsidRDefault="00C05FDF" w:rsidP="00C05FDF">
      <w:pPr>
        <w:pStyle w:val="BodyText"/>
        <w:keepNext/>
        <w:widowControl/>
        <w:spacing w:after="0"/>
        <w:ind w:firstLine="0"/>
        <w:jc w:val="center"/>
        <w:rPr>
          <w:rFonts w:ascii="Century Schoolbook" w:hAnsi="Century Schoolbook"/>
          <w:color w:val="000000"/>
        </w:rPr>
      </w:pPr>
      <w:r w:rsidRPr="00E53E52">
        <w:rPr>
          <w:rFonts w:ascii="Century Schoolbook" w:hAnsi="Century Schoolbook"/>
          <w:color w:val="000000"/>
        </w:rPr>
        <w:t>A.</w:t>
      </w:r>
    </w:p>
    <w:p w14:paraId="621E322A" w14:textId="77777777" w:rsidR="00C05FDF" w:rsidRPr="00E53E52" w:rsidRDefault="00C05FDF" w:rsidP="00C05FDF">
      <w:pPr>
        <w:pStyle w:val="BodyText"/>
        <w:widowControl/>
        <w:spacing w:after="0"/>
        <w:ind w:firstLine="0"/>
        <w:jc w:val="center"/>
        <w:rPr>
          <w:rFonts w:ascii="Century Schoolbook" w:hAnsi="Century Schoolbook"/>
          <w:color w:val="000000"/>
        </w:rPr>
      </w:pPr>
      <w:r w:rsidRPr="00E53E52">
        <w:rPr>
          <w:rFonts w:ascii="Century Schoolbook" w:hAnsi="Century Schoolbook"/>
          <w:b/>
          <w:bCs/>
          <w:color w:val="000000"/>
        </w:rPr>
        <w:t>* * *</w:t>
      </w:r>
    </w:p>
    <w:p w14:paraId="3B775F0F" w14:textId="77777777" w:rsidR="00C05FDF" w:rsidRPr="00E53E52" w:rsidRDefault="00C05FDF" w:rsidP="00C05FDF">
      <w:pPr>
        <w:pStyle w:val="BodyText"/>
        <w:widowControl/>
        <w:spacing w:after="120"/>
        <w:ind w:firstLine="720"/>
        <w:rPr>
          <w:rFonts w:ascii="Century Schoolbook" w:hAnsi="Century Schoolbook"/>
          <w:color w:val="000000"/>
        </w:rPr>
      </w:pPr>
      <w:r w:rsidRPr="00E53E52">
        <w:rPr>
          <w:rFonts w:ascii="Century Schoolbook" w:hAnsi="Century Schoolbook"/>
          <w:color w:val="000000"/>
        </w:rPr>
        <w:t xml:space="preserve">The Board first interpreted “persecution on account of membership in a particular social group” in [Matter of] </w:t>
      </w:r>
      <w:hyperlink r:id="rId31" w:anchor="co_pp_sp_1650_232" w:history="1">
        <w:r w:rsidRPr="00E53E52">
          <w:rPr>
            <w:rFonts w:ascii="Century Schoolbook" w:hAnsi="Century Schoolbook"/>
            <w:i/>
            <w:iCs/>
            <w:color w:val="000000"/>
          </w:rPr>
          <w:t>Acosta</w:t>
        </w:r>
      </w:hyperlink>
      <w:r w:rsidRPr="00E53E52">
        <w:rPr>
          <w:rFonts w:ascii="Century Schoolbook" w:hAnsi="Century Schoolbook"/>
          <w:color w:val="000000"/>
        </w:rPr>
        <w:t>. Noting that this provision “was added as an afterthought” to the CAT and that “Congress [similarly] did not indicate what it understood this ground of persecution to mean,” the Board turned to the language itself:</w:t>
      </w:r>
    </w:p>
    <w:p w14:paraId="6D868834" w14:textId="77777777" w:rsidR="00C05FDF" w:rsidRPr="00E53E52" w:rsidRDefault="00C05FDF" w:rsidP="00C05FDF">
      <w:pPr>
        <w:pStyle w:val="BodyText"/>
        <w:widowControl/>
        <w:spacing w:after="120"/>
        <w:ind w:left="720" w:right="720" w:firstLine="0"/>
        <w:rPr>
          <w:rFonts w:ascii="Century Schoolbook" w:hAnsi="Century Schoolbook"/>
          <w:color w:val="000000"/>
        </w:rPr>
      </w:pPr>
      <w:r w:rsidRPr="00E53E52">
        <w:rPr>
          <w:rFonts w:ascii="Century Schoolbook" w:hAnsi="Century Schoolbook"/>
          <w:color w:val="000000"/>
        </w:rPr>
        <w:t>A purely linguistic analysis of this ground of persecution suggests that it may encompass persecution seeking to punish either people in a certain relation, or having a certain degree of similarity, to one another or people of like class or kindred interests, such as shared ethnic, cultural, or linguistic origins, education, family background, or perhaps economic activity.</w:t>
      </w:r>
    </w:p>
    <w:p w14:paraId="5D243736" w14:textId="77777777" w:rsidR="00C05FDF" w:rsidRPr="00E53E52" w:rsidRDefault="00C05FDF" w:rsidP="00C05FDF">
      <w:pPr>
        <w:pStyle w:val="BodyText"/>
        <w:widowControl/>
        <w:spacing w:after="120"/>
        <w:ind w:firstLine="720"/>
        <w:rPr>
          <w:rFonts w:ascii="Century Schoolbook" w:hAnsi="Century Schoolbook"/>
          <w:i/>
          <w:iCs/>
          <w:color w:val="000000"/>
        </w:rPr>
      </w:pPr>
      <w:r w:rsidRPr="00E53E52">
        <w:rPr>
          <w:rFonts w:ascii="Century Schoolbook" w:hAnsi="Century Schoolbook"/>
          <w:color w:val="000000"/>
        </w:rPr>
        <w:t xml:space="preserve">Applying the doctrine of </w:t>
      </w:r>
      <w:r w:rsidRPr="00E53E52">
        <w:rPr>
          <w:rFonts w:ascii="Century Schoolbook" w:hAnsi="Century Schoolbook"/>
          <w:i/>
          <w:iCs/>
          <w:color w:val="000000"/>
        </w:rPr>
        <w:t>ejusdem generis</w:t>
      </w:r>
      <w:r w:rsidRPr="00E53E52">
        <w:rPr>
          <w:rFonts w:ascii="Century Schoolbook" w:hAnsi="Century Schoolbook"/>
          <w:color w:val="000000"/>
        </w:rPr>
        <w:t xml:space="preserve">, the Board read “particular social group” in a manner consistent with the other statutory grounds for persecution: race, religion, nationality, and political opinion. Because each of these terms describes “a characteristic that either is beyond the power of an individual to change or is so fundamental to an individual’s identity or conscience that it ought not be required to be changed,” the Board concluded that “membership in a particular social group” must similarly involve the sharing of a “common, immutable characteristic.” According to the Board, “[t]he shared characteristic might be an innate one such as sex, color, or kinship ties,” and immigration judges should engage in a case-by-case analysis to determine whether a particular innate characteristic would qualify. The Board did not clarify whether the sharing of a “common, immutable characteristic” was a sufficient, as opposed to just a necessary, condition for qualifying as a particular social group under the statutory definition of “refugee.” </w:t>
      </w:r>
    </w:p>
    <w:p w14:paraId="51670A6D" w14:textId="77777777" w:rsidR="00C05FDF" w:rsidRPr="00E53E52" w:rsidRDefault="001C3406" w:rsidP="00C05FDF">
      <w:pPr>
        <w:pStyle w:val="BodyText"/>
        <w:widowControl/>
        <w:spacing w:after="120"/>
        <w:ind w:firstLine="720"/>
        <w:rPr>
          <w:rFonts w:ascii="Century Schoolbook" w:hAnsi="Century Schoolbook"/>
          <w:color w:val="000000"/>
        </w:rPr>
      </w:pPr>
      <w:hyperlink r:id="rId32" w:anchor="co_pp_sp_1650_342" w:history="1">
        <w:r w:rsidR="00C05FDF" w:rsidRPr="00E53E52">
          <w:rPr>
            <w:rFonts w:ascii="Century Schoolbook" w:hAnsi="Century Schoolbook"/>
            <w:color w:val="000000"/>
          </w:rPr>
          <w:t xml:space="preserve">In </w:t>
        </w:r>
        <w:r w:rsidR="00C05FDF" w:rsidRPr="00E53E52">
          <w:rPr>
            <w:rFonts w:ascii="Century Schoolbook" w:hAnsi="Century Schoolbook"/>
            <w:i/>
            <w:iCs/>
            <w:color w:val="000000"/>
          </w:rPr>
          <w:t>Matter of H-</w:t>
        </w:r>
        <w:r w:rsidR="00C05FDF" w:rsidRPr="00E53E52">
          <w:rPr>
            <w:rFonts w:ascii="Century Schoolbook" w:hAnsi="Century Schoolbook"/>
            <w:color w:val="000000"/>
          </w:rPr>
          <w:t>,</w:t>
        </w:r>
      </w:hyperlink>
      <w:r w:rsidR="00C05FDF" w:rsidRPr="00E53E52">
        <w:rPr>
          <w:rFonts w:ascii="Century Schoolbook" w:hAnsi="Century Schoolbook"/>
          <w:color w:val="000000"/>
        </w:rPr>
        <w:t xml:space="preserve"> the Board addressed the kind of kinship ties that might constitute membership in a particular social group. There, the Board found that the record established credible evidence that the Somali Marehan subclan constituted a “particular social group,” because the subclan was “distinct and recognizable” in Somali society with distinguishing “linguistic commonalities.” The Board relied on a legal opinion by the General Counsel of the Immigration and Naturalization Service, who stated that Somali “[c]lan membership is a highly recognizable, immutable characteristic;” that Somali clans are “defined by discrete criteria”; and that “membership in a clan is at the essence of a Somali’s identity in determining his or her relations to others in and outside of the clan.” The Board also recognized that annual reports issued by the Department of State spoke specifically to the “presence of distinct and recognizable clans and subclans in Somalia and the once-preferred position of the applicant’s Marehan subclan,” due to its association with former Somali President Siad Barre.</w:t>
      </w:r>
    </w:p>
    <w:p w14:paraId="7907E271" w14:textId="77777777" w:rsidR="00C05FDF" w:rsidRPr="00E53E52" w:rsidRDefault="00C05FDF" w:rsidP="00C05FDF">
      <w:pPr>
        <w:pStyle w:val="BodyText"/>
        <w:widowControl/>
        <w:spacing w:after="120"/>
        <w:ind w:firstLine="720"/>
        <w:rPr>
          <w:rFonts w:ascii="Century Schoolbook" w:hAnsi="Century Schoolbook"/>
          <w:color w:val="000000"/>
        </w:rPr>
      </w:pPr>
      <w:r w:rsidRPr="00E53E52">
        <w:rPr>
          <w:rFonts w:ascii="Century Schoolbook" w:hAnsi="Century Schoolbook"/>
          <w:color w:val="000000"/>
        </w:rPr>
        <w:lastRenderedPageBreak/>
        <w:t>Over the decades since, the Board has refined the standard for identifying social groups that qualify for protection under the asylum statute. [A]n asylum applicant claiming membership in a particular social group must “establish that the group is: (1) composed of members who share a common immutable characteristic; (2) defined with particularity; and (3) socially distinct within the society in question.”</w:t>
      </w:r>
    </w:p>
    <w:p w14:paraId="3E870A01" w14:textId="77777777" w:rsidR="00C05FDF" w:rsidRPr="00E53E52" w:rsidRDefault="00C05FDF" w:rsidP="00C05FDF">
      <w:pPr>
        <w:pStyle w:val="BodyText"/>
        <w:widowControl/>
        <w:spacing w:after="120"/>
        <w:ind w:firstLine="720"/>
        <w:rPr>
          <w:rFonts w:ascii="Century Schoolbook" w:hAnsi="Century Schoolbook"/>
          <w:color w:val="000000"/>
        </w:rPr>
      </w:pPr>
      <w:r w:rsidRPr="00E53E52">
        <w:rPr>
          <w:rFonts w:ascii="Century Schoolbook" w:hAnsi="Century Schoolbook"/>
          <w:color w:val="000000"/>
        </w:rPr>
        <w:t xml:space="preserve">In </w:t>
      </w:r>
      <w:r w:rsidRPr="00E53E52">
        <w:rPr>
          <w:rFonts w:ascii="Century Schoolbook" w:hAnsi="Century Schoolbook"/>
          <w:i/>
          <w:iCs/>
          <w:color w:val="000000"/>
        </w:rPr>
        <w:t>Matter of A-B-</w:t>
      </w:r>
      <w:r w:rsidRPr="00E53E52">
        <w:rPr>
          <w:rFonts w:ascii="Century Schoolbook" w:hAnsi="Century Schoolbook"/>
          <w:color w:val="000000"/>
        </w:rPr>
        <w:t>, Attorney General Sessions reaffirmed this approach and emphasized the importance of a rigorous application of that legal standard. Respondents must present facts to establish each of the required elements for asylum status, and the asylum officer, immigration judge, or Board must determine whether those facts satisfy the required elements. Based upon these immigration decisions, in the ordinary case, a nuclear family will not, without more, constitute a “particular social group” because most nuclear families are not inherently socially distinct.</w:t>
      </w:r>
    </w:p>
    <w:p w14:paraId="5D979311" w14:textId="77777777" w:rsidR="00C05FDF" w:rsidRPr="00E53E52" w:rsidRDefault="00C05FDF" w:rsidP="00C05FDF">
      <w:pPr>
        <w:pStyle w:val="BodyText"/>
        <w:widowControl/>
        <w:spacing w:after="0"/>
        <w:ind w:firstLine="0"/>
        <w:jc w:val="center"/>
        <w:rPr>
          <w:rFonts w:ascii="Century Schoolbook" w:hAnsi="Century Schoolbook"/>
          <w:color w:val="000000"/>
        </w:rPr>
      </w:pPr>
      <w:r w:rsidRPr="00E53E52">
        <w:rPr>
          <w:rFonts w:ascii="Century Schoolbook" w:hAnsi="Century Schoolbook"/>
          <w:color w:val="000000"/>
        </w:rPr>
        <w:t>* * *</w:t>
      </w:r>
    </w:p>
    <w:p w14:paraId="1AF1D0B0" w14:textId="77777777" w:rsidR="00C05FDF" w:rsidRPr="00E53E52" w:rsidRDefault="00C05FDF" w:rsidP="00C05FDF">
      <w:pPr>
        <w:pStyle w:val="BodyText"/>
        <w:widowControl/>
        <w:spacing w:after="120"/>
        <w:ind w:firstLine="720"/>
        <w:rPr>
          <w:rFonts w:ascii="Century Schoolbook" w:hAnsi="Century Schoolbook"/>
          <w:color w:val="000000"/>
        </w:rPr>
      </w:pPr>
      <w:r w:rsidRPr="00E53E52">
        <w:rPr>
          <w:rFonts w:ascii="Century Schoolbook" w:hAnsi="Century Schoolbook"/>
          <w:color w:val="000000"/>
        </w:rPr>
        <w:t xml:space="preserve">I * * * recognize that certain courts of appeals have considered the requisite elements of a “particular social group” and, despite the requirements set forth in </w:t>
      </w:r>
      <w:r w:rsidRPr="00E53E52">
        <w:rPr>
          <w:rFonts w:ascii="Century Schoolbook" w:hAnsi="Century Schoolbook"/>
          <w:i/>
          <w:iCs/>
          <w:color w:val="000000"/>
        </w:rPr>
        <w:t>M-E-V-G-</w:t>
      </w:r>
      <w:r w:rsidRPr="00E53E52">
        <w:rPr>
          <w:rFonts w:ascii="Century Schoolbook" w:hAnsi="Century Schoolbook"/>
          <w:color w:val="000000"/>
        </w:rPr>
        <w:t xml:space="preserve"> and </w:t>
      </w:r>
      <w:r w:rsidRPr="00E53E52">
        <w:rPr>
          <w:rFonts w:ascii="Century Schoolbook" w:hAnsi="Century Schoolbook"/>
          <w:i/>
          <w:iCs/>
          <w:color w:val="000000"/>
        </w:rPr>
        <w:t>W-G-R-</w:t>
      </w:r>
      <w:r w:rsidRPr="00E53E52">
        <w:rPr>
          <w:rFonts w:ascii="Century Schoolbook" w:hAnsi="Century Schoolbook"/>
          <w:color w:val="000000"/>
        </w:rPr>
        <w:t xml:space="preserve">, have nonetheless suggested that shared family ties alone are sufficient to satisfy the INA’s definition of “refugee”—regardless of whether the applicant’s specific family is defined with particularity or is socially distinct in his society. For instance, in </w:t>
      </w:r>
      <w:r w:rsidRPr="00E53E52">
        <w:rPr>
          <w:rFonts w:ascii="Century Schoolbook" w:hAnsi="Century Schoolbook"/>
          <w:i/>
          <w:iCs/>
          <w:color w:val="000000"/>
        </w:rPr>
        <w:t>Rios v. Lynch</w:t>
      </w:r>
      <w:r w:rsidRPr="00E53E52">
        <w:rPr>
          <w:rFonts w:ascii="Century Schoolbook" w:hAnsi="Century Schoolbook"/>
          <w:color w:val="000000"/>
        </w:rPr>
        <w:t xml:space="preserve">, the Ninth Circuit expressly observed that under the “refined framework” of </w:t>
      </w:r>
      <w:r w:rsidRPr="00E53E52">
        <w:rPr>
          <w:rFonts w:ascii="Century Schoolbook" w:hAnsi="Century Schoolbook"/>
          <w:i/>
          <w:iCs/>
          <w:color w:val="000000"/>
        </w:rPr>
        <w:t>Matter of M-E-V-G-</w:t>
      </w:r>
      <w:r w:rsidRPr="00E53E52">
        <w:rPr>
          <w:rFonts w:ascii="Century Schoolbook" w:hAnsi="Century Schoolbook"/>
          <w:color w:val="000000"/>
        </w:rPr>
        <w:t xml:space="preserve">, “the family . . . [is] the quintessential particular social group.” </w:t>
      </w:r>
      <w:hyperlink r:id="rId33" w:anchor="co_pp_sp_506_1128" w:history="1">
        <w:r w:rsidRPr="00E53E52">
          <w:rPr>
            <w:rFonts w:ascii="Century Schoolbook" w:hAnsi="Century Schoolbook"/>
            <w:color w:val="000000"/>
          </w:rPr>
          <w:t>807 F.3d 1123, 1128 (9th Cir. 2015)</w:t>
        </w:r>
      </w:hyperlink>
      <w:r w:rsidRPr="00E53E52">
        <w:rPr>
          <w:rFonts w:ascii="Century Schoolbook" w:hAnsi="Century Schoolbook"/>
          <w:color w:val="000000"/>
        </w:rPr>
        <w:t>. In addition, three other circuits have expressed the same view * * * .</w:t>
      </w:r>
    </w:p>
    <w:p w14:paraId="49DFBDCA" w14:textId="77777777" w:rsidR="00C05FDF" w:rsidRPr="00E53E52" w:rsidRDefault="00C05FDF" w:rsidP="00C05FDF">
      <w:pPr>
        <w:pStyle w:val="BodyText"/>
        <w:widowControl/>
        <w:spacing w:after="0"/>
        <w:ind w:firstLine="0"/>
        <w:jc w:val="center"/>
        <w:rPr>
          <w:rFonts w:ascii="Century Schoolbook" w:hAnsi="Century Schoolbook"/>
          <w:color w:val="000000"/>
        </w:rPr>
      </w:pPr>
      <w:r w:rsidRPr="00E53E52">
        <w:rPr>
          <w:rFonts w:ascii="Century Schoolbook" w:hAnsi="Century Schoolbook"/>
          <w:color w:val="000000"/>
        </w:rPr>
        <w:t xml:space="preserve">* * * </w:t>
      </w:r>
    </w:p>
    <w:p w14:paraId="2780BDA9" w14:textId="77777777" w:rsidR="00C05FDF" w:rsidRPr="00E53E52" w:rsidRDefault="00C05FDF" w:rsidP="00C05FDF">
      <w:pPr>
        <w:pStyle w:val="BodyText"/>
        <w:widowControl/>
        <w:spacing w:after="120"/>
        <w:ind w:firstLine="720"/>
        <w:rPr>
          <w:rFonts w:ascii="Century Schoolbook" w:hAnsi="Century Schoolbook"/>
          <w:color w:val="000000"/>
        </w:rPr>
      </w:pPr>
      <w:r w:rsidRPr="00E53E52">
        <w:rPr>
          <w:rFonts w:ascii="Century Schoolbook" w:hAnsi="Century Schoolbook"/>
          <w:color w:val="000000"/>
        </w:rPr>
        <w:t xml:space="preserve">To the extent, however, that any court of appeals decision is best interpreted as adopting a categorical rule that any nuclear family could constitute a cognizable “particular social group,” I believe that such a holding is inconsistent with both the asylum laws and the long-standing precedents of the Board. Since </w:t>
      </w:r>
      <w:r w:rsidRPr="00E53E52">
        <w:rPr>
          <w:rFonts w:ascii="Century Schoolbook" w:hAnsi="Century Schoolbook"/>
          <w:i/>
          <w:iCs/>
          <w:color w:val="000000"/>
        </w:rPr>
        <w:t>Matter of Acosta</w:t>
      </w:r>
      <w:r w:rsidRPr="00E53E52">
        <w:rPr>
          <w:rFonts w:ascii="Century Schoolbook" w:hAnsi="Century Schoolbook"/>
          <w:color w:val="000000"/>
        </w:rPr>
        <w:t>, the Board has emphasized that a “particular social group” must be particular and socially distinct in the society at question, which itself requires a fact-specific inquiry based on the evidence in a particular case. The application of contradictory rules by the courts of appeals is inappropriate because whether a specific family group constitutes a “particular social group” should be determined by the immigration courts in the first instance, as an exercise of the Attorney General’s delegated authority to interpret the INA.</w:t>
      </w:r>
    </w:p>
    <w:p w14:paraId="10F8B69E" w14:textId="77777777" w:rsidR="00C05FDF" w:rsidRPr="00E53E52" w:rsidRDefault="00C05FDF" w:rsidP="00C05FDF">
      <w:pPr>
        <w:pStyle w:val="BodyText"/>
        <w:widowControl/>
        <w:spacing w:after="120"/>
        <w:ind w:firstLine="720"/>
        <w:rPr>
          <w:rFonts w:ascii="Century Schoolbook" w:hAnsi="Century Schoolbook"/>
          <w:color w:val="000000"/>
        </w:rPr>
      </w:pPr>
      <w:r w:rsidRPr="00E53E52">
        <w:rPr>
          <w:rFonts w:ascii="Century Schoolbook" w:hAnsi="Century Schoolbook"/>
          <w:color w:val="000000"/>
        </w:rPr>
        <w:t xml:space="preserve">The Attorney General has primary responsibility </w:t>
      </w:r>
      <w:r w:rsidRPr="00E53E52">
        <w:rPr>
          <w:rFonts w:ascii="Century Schoolbook" w:hAnsi="Century Schoolbook"/>
        </w:rPr>
        <w:t>for</w:t>
      </w:r>
      <w:r w:rsidRPr="00E53E52">
        <w:rPr>
          <w:rFonts w:ascii="Century Schoolbook" w:hAnsi="Century Schoolbook"/>
          <w:color w:val="000000"/>
        </w:rPr>
        <w:t xml:space="preserve"> construing and applying provisions in the immigration laws. The INA provides that, within the Executive Branch, the “determination and ruling by the Attorney General with respect to all questions of law shall be controlling.” </w:t>
      </w:r>
      <w:hyperlink r:id="rId34" w:anchor="co_pp_7b9b000044381" w:history="1">
        <w:r w:rsidRPr="00E53E52">
          <w:rPr>
            <w:rFonts w:ascii="Century Schoolbook" w:hAnsi="Century Schoolbook"/>
            <w:color w:val="000000"/>
          </w:rPr>
          <w:t>INA § 103(a)(1)</w:t>
        </w:r>
      </w:hyperlink>
      <w:r w:rsidRPr="00E53E52">
        <w:rPr>
          <w:rFonts w:ascii="Century Schoolbook" w:hAnsi="Century Schoolbook"/>
          <w:color w:val="000000"/>
        </w:rPr>
        <w:t xml:space="preserve">. Plainly, the term “particular social group” is ambiguous, and every court of appeals to address the proper application of the phrase “particular social group” has deferred to decisions of the Board in the phrase’s application. Congress thus delegated to the Attorney General the discretion to reasonably interpret the meaning of “membership in a particular social group,” and such reasonable interpretations are entitled to deference. </w:t>
      </w:r>
      <w:hyperlink r:id="rId35" w:anchor="co_pp_sp_780_844" w:history="1">
        <w:r w:rsidRPr="00E53E52">
          <w:rPr>
            <w:rFonts w:ascii="Century Schoolbook" w:hAnsi="Century Schoolbook"/>
            <w:i/>
            <w:iCs/>
            <w:color w:val="000000"/>
          </w:rPr>
          <w:t>Chevron, U.S.A., Inc. v. Natural Res. Def. Council, Inc.</w:t>
        </w:r>
        <w:r w:rsidRPr="00E53E52">
          <w:rPr>
            <w:rFonts w:ascii="Century Schoolbook" w:hAnsi="Century Schoolbook"/>
            <w:color w:val="000000"/>
          </w:rPr>
          <w:t>, 467 U.S. 837, 844 (1984)</w:t>
        </w:r>
      </w:hyperlink>
      <w:r w:rsidRPr="00E53E52">
        <w:rPr>
          <w:rFonts w:ascii="Century Schoolbook" w:hAnsi="Century Schoolbook"/>
          <w:color w:val="000000"/>
        </w:rPr>
        <w:t xml:space="preserve">. As the </w:t>
      </w:r>
      <w:r w:rsidRPr="00E53E52">
        <w:rPr>
          <w:rFonts w:ascii="Century Schoolbook" w:hAnsi="Century Schoolbook"/>
          <w:color w:val="000000"/>
        </w:rPr>
        <w:lastRenderedPageBreak/>
        <w:t xml:space="preserve">Supreme Court has recognized, “‘ambiguities in statutes within an agency’s jurisdiction to administer are delegations of authority to the agency to fill the statutory gap in reasonable fashion. Filling these gaps . . . involves difficult policy choices that agencies are better equipped to make than courts.” </w:t>
      </w:r>
      <w:hyperlink r:id="rId36" w:anchor="co_pp_sp_780_523" w:history="1">
        <w:r w:rsidRPr="00E53E52">
          <w:rPr>
            <w:rFonts w:ascii="Century Schoolbook" w:hAnsi="Century Schoolbook"/>
            <w:i/>
            <w:iCs/>
            <w:color w:val="000000"/>
          </w:rPr>
          <w:t>Negusie v. Holder</w:t>
        </w:r>
        <w:r w:rsidRPr="00E53E52">
          <w:rPr>
            <w:rFonts w:ascii="Century Schoolbook" w:hAnsi="Century Schoolbook"/>
            <w:color w:val="000000"/>
          </w:rPr>
          <w:t>, 555 U.S. 511, 523 (2009)</w:t>
        </w:r>
      </w:hyperlink>
      <w:r w:rsidRPr="00E53E52">
        <w:rPr>
          <w:rFonts w:ascii="Century Schoolbook" w:hAnsi="Century Schoolbook"/>
          <w:color w:val="000000"/>
        </w:rPr>
        <w:t xml:space="preserve"> * * *. This principle holds even in cases where the courts of appeals might have interpreted the phrase differently in the first instance.</w:t>
      </w:r>
      <w:r w:rsidRPr="00E53E52">
        <w:rPr>
          <w:rFonts w:ascii="Century Schoolbook" w:hAnsi="Century Schoolbook"/>
          <w:i/>
          <w:iCs/>
          <w:color w:val="000000"/>
        </w:rPr>
        <w:t xml:space="preserve"> </w:t>
      </w:r>
      <w:r w:rsidRPr="00E53E52">
        <w:rPr>
          <w:rFonts w:ascii="Century Schoolbook" w:hAnsi="Century Schoolbook"/>
          <w:color w:val="000000"/>
        </w:rPr>
        <w:t>I therefore interpret the ambiguous term “particular social group” in the manner that I believe to be the most faithful to the text, purpose, and policies underlying the asylum statute.</w:t>
      </w:r>
    </w:p>
    <w:p w14:paraId="3082840C" w14:textId="77777777" w:rsidR="00C05FDF" w:rsidRPr="00E53E52" w:rsidRDefault="00C05FDF" w:rsidP="00C05FDF">
      <w:pPr>
        <w:pStyle w:val="BodyText"/>
        <w:keepNext/>
        <w:widowControl/>
        <w:spacing w:after="120"/>
        <w:ind w:firstLine="0"/>
        <w:jc w:val="center"/>
        <w:rPr>
          <w:rFonts w:ascii="Century Schoolbook" w:hAnsi="Century Schoolbook"/>
          <w:color w:val="000000"/>
        </w:rPr>
      </w:pPr>
      <w:r w:rsidRPr="00E53E52">
        <w:rPr>
          <w:rFonts w:ascii="Century Schoolbook" w:hAnsi="Century Schoolbook"/>
          <w:color w:val="000000"/>
        </w:rPr>
        <w:t>B.</w:t>
      </w:r>
    </w:p>
    <w:p w14:paraId="1A108020" w14:textId="77777777" w:rsidR="00C05FDF" w:rsidRPr="00E53E52" w:rsidRDefault="00C05FDF" w:rsidP="00C05FDF">
      <w:pPr>
        <w:pStyle w:val="BodyText"/>
        <w:widowControl/>
        <w:spacing w:after="120"/>
        <w:ind w:firstLine="720"/>
        <w:rPr>
          <w:rFonts w:ascii="Century Schoolbook" w:hAnsi="Century Schoolbook"/>
          <w:color w:val="000000"/>
        </w:rPr>
      </w:pPr>
      <w:r w:rsidRPr="00E53E52">
        <w:rPr>
          <w:rFonts w:ascii="Century Schoolbook" w:hAnsi="Century Schoolbook"/>
          <w:color w:val="000000"/>
        </w:rPr>
        <w:t xml:space="preserve">The Board has recognized that “kinship ties” may be one of the kinds of common, immutable characteristics that might form the basis for a “particular social group” under the INA. But the Board has never held that </w:t>
      </w:r>
      <w:r w:rsidRPr="00E53E52">
        <w:rPr>
          <w:rFonts w:ascii="Century Schoolbook" w:hAnsi="Century Schoolbook"/>
          <w:i/>
          <w:iCs/>
          <w:color w:val="000000"/>
        </w:rPr>
        <w:t>every</w:t>
      </w:r>
      <w:r w:rsidRPr="00E53E52">
        <w:rPr>
          <w:rFonts w:ascii="Century Schoolbook" w:hAnsi="Century Schoolbook"/>
          <w:color w:val="000000"/>
        </w:rPr>
        <w:t xml:space="preserve"> type of family grouping would be cognizable as a particular social group. Here, the respondent argues that the immediate family of his father constitutes a particular social group because a local drug cartel had a dispute with his father, and the cartel chose to take that dispute out upon his family members. But the respondent did not show that anyone, other than perhaps the cartel, viewed the respondent’s family to be distinct in Mexican society. If cartels or other criminals created a cognizable family social group every time they victimized someone, then the social-distinction requirement would be effectively eliminated.</w:t>
      </w:r>
    </w:p>
    <w:p w14:paraId="06101535" w14:textId="77777777" w:rsidR="00C05FDF" w:rsidRPr="00E53E52" w:rsidRDefault="00C05FDF" w:rsidP="00C05FDF">
      <w:pPr>
        <w:pStyle w:val="BodyText"/>
        <w:widowControl/>
        <w:spacing w:after="120"/>
        <w:ind w:firstLine="720"/>
        <w:rPr>
          <w:rFonts w:ascii="Century Schoolbook" w:hAnsi="Century Schoolbook"/>
          <w:color w:val="000000"/>
        </w:rPr>
      </w:pPr>
      <w:r w:rsidRPr="00E53E52">
        <w:rPr>
          <w:rFonts w:ascii="Century Schoolbook" w:hAnsi="Century Schoolbook"/>
          <w:color w:val="000000"/>
        </w:rPr>
        <w:t xml:space="preserve">Under the </w:t>
      </w:r>
      <w:r w:rsidRPr="00E53E52">
        <w:rPr>
          <w:rFonts w:ascii="Century Schoolbook" w:hAnsi="Century Schoolbook"/>
          <w:i/>
          <w:iCs/>
          <w:color w:val="000000"/>
        </w:rPr>
        <w:t>ejusdem generis</w:t>
      </w:r>
      <w:r w:rsidRPr="00E53E52">
        <w:rPr>
          <w:rFonts w:ascii="Century Schoolbook" w:hAnsi="Century Schoolbook"/>
          <w:color w:val="000000"/>
        </w:rPr>
        <w:t xml:space="preserve"> canon, the term “particular social group” must be read in conjunction with the terms preceding it, which cabin its reach,</w:t>
      </w:r>
      <w:r w:rsidRPr="00E53E52">
        <w:rPr>
          <w:rFonts w:ascii="Century Schoolbook" w:hAnsi="Century Schoolbook"/>
          <w:i/>
          <w:iCs/>
          <w:color w:val="000000"/>
        </w:rPr>
        <w:t xml:space="preserve"> </w:t>
      </w:r>
      <w:r w:rsidRPr="00E53E52">
        <w:rPr>
          <w:rFonts w:ascii="Century Schoolbook" w:hAnsi="Century Schoolbook"/>
          <w:color w:val="000000"/>
        </w:rPr>
        <w:t xml:space="preserve">rather than as an “omnibus catch-all” for everyone who does not qualify under one of the other grounds for asylum. The INA expressly grants asylum to spouses and children of aliens who receive asylum if those family members are accompanying or following the original applicant to the United States. By contrast, the INA does not specify family ties alone as an independent basis for qualifying for asylum relief. </w:t>
      </w:r>
    </w:p>
    <w:p w14:paraId="320A53F8" w14:textId="77777777" w:rsidR="00C05FDF" w:rsidRPr="00E53E52" w:rsidRDefault="00C05FDF" w:rsidP="00C05FDF">
      <w:pPr>
        <w:pStyle w:val="BodyText"/>
        <w:widowControl/>
        <w:spacing w:after="120"/>
        <w:ind w:firstLine="720"/>
        <w:rPr>
          <w:rFonts w:ascii="Century Schoolbook" w:hAnsi="Century Schoolbook"/>
          <w:color w:val="000000"/>
        </w:rPr>
      </w:pPr>
      <w:r w:rsidRPr="00E53E52">
        <w:rPr>
          <w:rFonts w:ascii="Century Schoolbook" w:hAnsi="Century Schoolbook"/>
          <w:color w:val="000000"/>
        </w:rPr>
        <w:t xml:space="preserve">Further, as almost every alien is a member of a family of some kind, categorically recognizing families as particular social groups would render virtually every alien a member of a particular social group. There is no evidence that Congress intended the term “particular social group” to cast so wide a net. Moreover, </w:t>
      </w:r>
      <w:hyperlink r:id="rId37" w:history="1">
        <w:r w:rsidRPr="00E53E52">
          <w:rPr>
            <w:rFonts w:ascii="Century Schoolbook" w:hAnsi="Century Schoolbook"/>
            <w:color w:val="000000"/>
          </w:rPr>
          <w:t>INA § 101</w:t>
        </w:r>
      </w:hyperlink>
      <w:r w:rsidRPr="00E53E52">
        <w:rPr>
          <w:rFonts w:ascii="Century Schoolbook" w:hAnsi="Century Schoolbook"/>
          <w:color w:val="000000"/>
        </w:rPr>
        <w:t>, within which the definition of “refugee” appears, uses the term family (or families) ten times in the definitions of other terms.</w:t>
      </w:r>
      <w:r w:rsidRPr="00E53E52">
        <w:rPr>
          <w:rFonts w:ascii="Century Schoolbook" w:hAnsi="Century Schoolbook"/>
          <w:i/>
          <w:iCs/>
          <w:color w:val="000000"/>
        </w:rPr>
        <w:t xml:space="preserve"> </w:t>
      </w:r>
      <w:r w:rsidRPr="00E53E52">
        <w:rPr>
          <w:rFonts w:ascii="Century Schoolbook" w:hAnsi="Century Schoolbook"/>
          <w:color w:val="000000"/>
        </w:rPr>
        <w:t>If Congress intended for refugee status to turn on one’s suffering of persecution “on account of” family membership, Congress would have included family identity as one of the expressly enumerated covered grounds for persecution.</w:t>
      </w:r>
    </w:p>
    <w:p w14:paraId="51441008" w14:textId="77777777" w:rsidR="00C05FDF" w:rsidRPr="00E53E52" w:rsidRDefault="00C05FDF" w:rsidP="00C05FDF">
      <w:pPr>
        <w:pStyle w:val="BodyText"/>
        <w:widowControl/>
        <w:spacing w:after="120"/>
        <w:ind w:firstLine="720"/>
        <w:rPr>
          <w:rFonts w:ascii="Century Schoolbook" w:hAnsi="Century Schoolbook"/>
          <w:color w:val="000000"/>
        </w:rPr>
      </w:pPr>
      <w:r w:rsidRPr="00E53E52">
        <w:rPr>
          <w:rFonts w:ascii="Century Schoolbook" w:hAnsi="Century Schoolbook"/>
          <w:color w:val="000000"/>
        </w:rPr>
        <w:t xml:space="preserve">Thus, by the terms of the statutory definition of “refugee,” as well as according to long-standing principles set forth in BIA precedent, to qualify as a “particular social group,” an applicant must demonstrate that his family group meets each of the immutability, particularity, and social distinction requirements. While many family relationships will be immutable, some family-based group definitions may be too vague or amorphous to meet the particularity requirement—i.e., where an applicant cannot show discernible boundaries to </w:t>
      </w:r>
      <w:r w:rsidRPr="00E53E52">
        <w:rPr>
          <w:rFonts w:ascii="Century Schoolbook" w:hAnsi="Century Schoolbook"/>
          <w:color w:val="000000"/>
        </w:rPr>
        <w:lastRenderedPageBreak/>
        <w:t xml:space="preserve">the group. </w:t>
      </w:r>
      <w:r w:rsidRPr="00E53E52">
        <w:rPr>
          <w:rFonts w:ascii="Century Schoolbook" w:hAnsi="Century Schoolbook"/>
          <w:i/>
          <w:iCs/>
          <w:color w:val="000000"/>
        </w:rPr>
        <w:t>See, e.g.</w:t>
      </w:r>
      <w:r w:rsidRPr="00E53E52">
        <w:rPr>
          <w:rFonts w:ascii="Century Schoolbook" w:hAnsi="Century Schoolbook"/>
          <w:color w:val="000000"/>
        </w:rPr>
        <w:t>, [</w:t>
      </w:r>
      <w:hyperlink r:id="rId38" w:anchor="co_pp_sp_1650_586" w:history="1">
        <w:r w:rsidRPr="00E53E52">
          <w:rPr>
            <w:rFonts w:ascii="Century Schoolbook" w:hAnsi="Century Schoolbook"/>
            <w:i/>
            <w:iCs/>
            <w:color w:val="000000"/>
          </w:rPr>
          <w:t>Matter of S-E-G-</w:t>
        </w:r>
        <w:r w:rsidRPr="00E53E52">
          <w:rPr>
            <w:rFonts w:ascii="Century Schoolbook" w:hAnsi="Century Schoolbook"/>
            <w:color w:val="000000"/>
          </w:rPr>
          <w:t>, 24 I &amp; N Dec. 579, 585 (BIA 2008)</w:t>
        </w:r>
      </w:hyperlink>
      <w:r w:rsidRPr="00E53E52">
        <w:rPr>
          <w:rFonts w:ascii="Century Schoolbook" w:hAnsi="Century Schoolbook"/>
          <w:color w:val="000000"/>
        </w:rPr>
        <w:t xml:space="preserve">] (noting that the “proposed group of ‘family members,’ which could include fathers, mothers, siblings, uncles, aunts, nieces, nephews, grandparents, cousins, and others, is . . . too amorphous a category” to satisfy the particularity requirement). Further, many family-based social groups will have trouble qualifying as “socially distinct,” a requirement that contemplates that the applicant’s proposed group be “set apart, or distinct, from other persons within the society in some significant way.” </w:t>
      </w:r>
      <w:hyperlink r:id="rId39" w:anchor="co_pp_sp_1650_238" w:history="1">
        <w:r w:rsidRPr="00E53E52">
          <w:rPr>
            <w:rFonts w:ascii="Century Schoolbook" w:hAnsi="Century Schoolbook"/>
            <w:i/>
            <w:iCs/>
            <w:color w:val="000000"/>
          </w:rPr>
          <w:t>Matter of M-E-V-G-</w:t>
        </w:r>
        <w:r w:rsidRPr="00E53E52">
          <w:rPr>
            <w:rFonts w:ascii="Century Schoolbook" w:hAnsi="Century Schoolbook"/>
            <w:color w:val="000000"/>
          </w:rPr>
          <w:t>, 26 I &amp; N Dec. 227, 238 (BIA 2014)</w:t>
        </w:r>
      </w:hyperlink>
      <w:r w:rsidRPr="00E53E52">
        <w:rPr>
          <w:rFonts w:ascii="Century Schoolbook" w:hAnsi="Century Schoolbook"/>
          <w:color w:val="000000"/>
        </w:rPr>
        <w:t>.</w:t>
      </w:r>
    </w:p>
    <w:p w14:paraId="3B27F2ED" w14:textId="77777777" w:rsidR="00C05FDF" w:rsidRPr="00E53E52" w:rsidRDefault="00C05FDF" w:rsidP="00C05FDF">
      <w:pPr>
        <w:pStyle w:val="BodyText"/>
        <w:widowControl/>
        <w:spacing w:after="120"/>
        <w:ind w:firstLine="720"/>
        <w:rPr>
          <w:rFonts w:ascii="Century Schoolbook" w:hAnsi="Century Schoolbook"/>
          <w:color w:val="000000"/>
        </w:rPr>
      </w:pPr>
      <w:r w:rsidRPr="00E53E52">
        <w:rPr>
          <w:rFonts w:ascii="Century Schoolbook" w:hAnsi="Century Schoolbook"/>
          <w:color w:val="000000"/>
        </w:rPr>
        <w:t xml:space="preserve">Asylum applicants generally seek to establish family-based groups as “particular social groups” by raising one of two principal arguments. First, many applicants assert a specific family unit as their “particular social group.” But * * * when an applicant proposes a group composed of a specific family unit, he must show that his proposed group has some greater meaning in society. It is not enough that the family be set apart in the eye of the persecutor, because it is the perception of the relevant society—rather than the perception of the alien’s actual or potential persecutors—that matters. </w:t>
      </w:r>
    </w:p>
    <w:p w14:paraId="069F36C8" w14:textId="77777777" w:rsidR="00C05FDF" w:rsidRPr="00E53E52" w:rsidRDefault="00C05FDF" w:rsidP="00C05FDF">
      <w:pPr>
        <w:pStyle w:val="BodyText"/>
        <w:widowControl/>
        <w:spacing w:after="120"/>
        <w:ind w:firstLine="720"/>
        <w:rPr>
          <w:rFonts w:ascii="Century Schoolbook" w:hAnsi="Century Schoolbook"/>
          <w:color w:val="000000"/>
        </w:rPr>
      </w:pPr>
      <w:r w:rsidRPr="00E53E52">
        <w:rPr>
          <w:rFonts w:ascii="Century Schoolbook" w:hAnsi="Century Schoolbook"/>
          <w:color w:val="000000"/>
        </w:rPr>
        <w:t xml:space="preserve">In analyzing these claims, adjudicators must be careful to focus on the particular social group </w:t>
      </w:r>
      <w:r w:rsidRPr="00E53E52">
        <w:rPr>
          <w:rFonts w:ascii="Century Schoolbook" w:hAnsi="Century Schoolbook"/>
          <w:i/>
          <w:iCs/>
          <w:color w:val="000000"/>
        </w:rPr>
        <w:t>as it is defined</w:t>
      </w:r>
      <w:r w:rsidRPr="00E53E52">
        <w:rPr>
          <w:rFonts w:ascii="Century Schoolbook" w:hAnsi="Century Schoolbook"/>
          <w:color w:val="000000"/>
        </w:rPr>
        <w:t xml:space="preserve"> by the applicant and ask whether </w:t>
      </w:r>
      <w:r w:rsidRPr="00E53E52">
        <w:rPr>
          <w:rFonts w:ascii="Century Schoolbook" w:hAnsi="Century Schoolbook"/>
          <w:i/>
          <w:iCs/>
          <w:color w:val="000000"/>
        </w:rPr>
        <w:t>that group</w:t>
      </w:r>
      <w:r w:rsidRPr="00E53E52">
        <w:rPr>
          <w:rFonts w:ascii="Century Schoolbook" w:hAnsi="Century Schoolbook"/>
          <w:color w:val="000000"/>
        </w:rPr>
        <w:t xml:space="preserve"> is distinct in the society in question. If an applicant claims persecution based on membership in his father’s immediate family, then the adjudicator must ask whether </w:t>
      </w:r>
      <w:r w:rsidRPr="00E53E52">
        <w:rPr>
          <w:rFonts w:ascii="Century Schoolbook" w:hAnsi="Century Schoolbook"/>
          <w:i/>
          <w:iCs/>
          <w:color w:val="000000"/>
        </w:rPr>
        <w:t>that</w:t>
      </w:r>
      <w:r w:rsidRPr="00E53E52">
        <w:rPr>
          <w:rFonts w:ascii="Century Schoolbook" w:hAnsi="Century Schoolbook"/>
          <w:color w:val="000000"/>
        </w:rPr>
        <w:t xml:space="preserve"> specific family is “set apart, or distinct, from other persons within the society in some significant way.” It is not sufficient to observe that the applicant’s society (or societies in general) place great significance on the concept of the family. If this were the case, virtually everyone in that society would be a member of a cognizable particular social group. The fact that “nuclear families” or some other widely recognized family unit generally carry societal importance says nothing about whether a </w:t>
      </w:r>
      <w:r w:rsidRPr="00E53E52">
        <w:rPr>
          <w:rFonts w:ascii="Century Schoolbook" w:hAnsi="Century Schoolbook"/>
          <w:i/>
          <w:iCs/>
          <w:color w:val="000000"/>
        </w:rPr>
        <w:t>specific</w:t>
      </w:r>
      <w:r w:rsidRPr="00E53E52">
        <w:rPr>
          <w:rFonts w:ascii="Century Schoolbook" w:hAnsi="Century Schoolbook"/>
          <w:color w:val="000000"/>
        </w:rPr>
        <w:t xml:space="preserve"> nuclear family would be “recognizable by society at large.” [</w:t>
      </w:r>
      <w:r w:rsidRPr="00E53E52">
        <w:rPr>
          <w:rFonts w:ascii="Century Schoolbook" w:hAnsi="Century Schoolbook"/>
          <w:i/>
          <w:color w:val="000000"/>
        </w:rPr>
        <w:t xml:space="preserve">Matter of A-B-, </w:t>
      </w:r>
      <w:hyperlink r:id="rId40" w:anchor="co_pp_sp_1650_323" w:history="1">
        <w:r w:rsidRPr="00E53E52">
          <w:rPr>
            <w:rFonts w:ascii="Century Schoolbook" w:hAnsi="Century Schoolbook"/>
            <w:color w:val="000000"/>
          </w:rPr>
          <w:t>27 I &amp; N Dec. 316, 336 (</w:t>
        </w:r>
        <w:r w:rsidRPr="00E53E52">
          <w:rPr>
            <w:rFonts w:ascii="Century Schoolbook" w:hAnsi="Century Schoolbook" w:cs="Times New Roman"/>
          </w:rPr>
          <w:t xml:space="preserve">AG </w:t>
        </w:r>
        <w:r w:rsidRPr="00E53E52">
          <w:rPr>
            <w:rFonts w:ascii="Century Schoolbook" w:hAnsi="Century Schoolbook"/>
            <w:color w:val="000000"/>
          </w:rPr>
          <w:t>2018)</w:t>
        </w:r>
      </w:hyperlink>
      <w:r w:rsidRPr="00E53E52">
        <w:rPr>
          <w:rFonts w:ascii="Century Schoolbook" w:hAnsi="Century Schoolbook"/>
          <w:color w:val="000000"/>
        </w:rPr>
        <w:t>.] The average family—even if it would otherwise satisfy the immutability and particularity requirements—is unlikely to be so recognized.</w:t>
      </w:r>
    </w:p>
    <w:p w14:paraId="2505517A" w14:textId="77777777" w:rsidR="00C05FDF" w:rsidRPr="00E53E52" w:rsidRDefault="00C05FDF" w:rsidP="00C05FDF">
      <w:pPr>
        <w:pStyle w:val="BodyText"/>
        <w:widowControl/>
        <w:spacing w:after="120"/>
        <w:ind w:firstLine="720"/>
        <w:rPr>
          <w:rFonts w:ascii="Century Schoolbook" w:hAnsi="Century Schoolbook"/>
          <w:color w:val="000000"/>
        </w:rPr>
      </w:pPr>
      <w:r w:rsidRPr="00E53E52">
        <w:rPr>
          <w:rFonts w:ascii="Century Schoolbook" w:hAnsi="Century Schoolbook"/>
          <w:color w:val="000000"/>
        </w:rPr>
        <w:t>Second, other applicants define the relevant “particular social group” as a collection of familial relatives of persons who have certain shared characteristics. [citing as examples cases recognizing as social groups “immediate family members of Honduran women unable to leave a domestic relationship,” “family members of persons who have been killed by rival gang members,” “relatives of assassination suspects”). This is a common approach in asylum cases concerning gang violence. Often, this category of family classifications fails the social distinction requirement because there is little evidence to indicate that families sharing these characteristics are seen in society as cohesive and identifiable groups. Furthermore, when proposing these kinds of groups, applicants risk impermissibly defining their purported social group in terms of the persecution it has suffered or that it fears.</w:t>
      </w:r>
    </w:p>
    <w:p w14:paraId="58137F59" w14:textId="77777777" w:rsidR="00C05FDF" w:rsidRPr="00E53E52" w:rsidRDefault="00C05FDF" w:rsidP="00C05FDF">
      <w:pPr>
        <w:pStyle w:val="BodyText"/>
        <w:widowControl/>
        <w:spacing w:after="120"/>
        <w:ind w:firstLine="720"/>
        <w:rPr>
          <w:rFonts w:ascii="Century Schoolbook" w:hAnsi="Century Schoolbook"/>
          <w:color w:val="000000"/>
          <w:sz w:val="16"/>
          <w:szCs w:val="16"/>
        </w:rPr>
      </w:pPr>
      <w:r w:rsidRPr="00E53E52">
        <w:rPr>
          <w:rFonts w:ascii="Century Schoolbook" w:hAnsi="Century Schoolbook"/>
          <w:color w:val="000000"/>
        </w:rPr>
        <w:t xml:space="preserve">This opinion does not bar all family-based social groups from qualifying for asylum. To the contrary, in some societies, an applicant may present specific kinship groups or clans that, based on the evidence in the applicant’s case, are particular and socially distinct. But unless an immediate family carries greater societal import, it is unlikely that a proposed family-based group will be “distinct” in the way required by the INA for purposes of asylum. </w:t>
      </w:r>
      <w:r w:rsidRPr="00E53E52">
        <w:rPr>
          <w:rFonts w:ascii="Century Schoolbook" w:hAnsi="Century Schoolbook"/>
          <w:color w:val="000000"/>
        </w:rPr>
        <w:lastRenderedPageBreak/>
        <w:t xml:space="preserve">Moreover, adjudicators should be skeptical of social groups that appear to be “defined principally, if not exclusively, for the purposes of [litigation] . . . without regard to the question of whether anyone in [a given country] perceives [those] group[s] to exist in any form whatsoever.” </w:t>
      </w:r>
      <w:hyperlink r:id="rId41" w:anchor="co_pp_sp_1650_918" w:history="1">
        <w:r w:rsidRPr="00E53E52">
          <w:rPr>
            <w:rFonts w:ascii="Century Schoolbook" w:hAnsi="Century Schoolbook"/>
            <w:i/>
            <w:iCs/>
            <w:color w:val="000000"/>
          </w:rPr>
          <w:t>In re R-A-</w:t>
        </w:r>
        <w:r w:rsidRPr="00E53E52">
          <w:rPr>
            <w:rFonts w:ascii="Century Schoolbook" w:hAnsi="Century Schoolbook"/>
            <w:color w:val="000000"/>
          </w:rPr>
          <w:t xml:space="preserve">, 22 I &amp; N Dec. 906, 918 (BIA 1999; </w:t>
        </w:r>
        <w:r w:rsidRPr="00E53E52">
          <w:rPr>
            <w:rFonts w:ascii="Century Schoolbook" w:hAnsi="Century Schoolbook" w:cs="Times New Roman"/>
          </w:rPr>
          <w:t xml:space="preserve">AG </w:t>
        </w:r>
        <w:r w:rsidRPr="00E53E52">
          <w:rPr>
            <w:rFonts w:ascii="Century Schoolbook" w:hAnsi="Century Schoolbook"/>
            <w:color w:val="000000"/>
          </w:rPr>
          <w:t>2001)</w:t>
        </w:r>
      </w:hyperlink>
      <w:r w:rsidRPr="00E53E52">
        <w:rPr>
          <w:rFonts w:ascii="Century Schoolbook" w:hAnsi="Century Schoolbook"/>
          <w:color w:val="000000"/>
        </w:rPr>
        <w:t xml:space="preserve">, </w:t>
      </w:r>
      <w:r w:rsidRPr="00E53E52">
        <w:rPr>
          <w:rFonts w:ascii="Century Schoolbook" w:hAnsi="Century Schoolbook"/>
          <w:i/>
          <w:iCs/>
          <w:color w:val="000000"/>
        </w:rPr>
        <w:t xml:space="preserve">remanded for recons. in </w:t>
      </w:r>
      <w:hyperlink r:id="rId42" w:history="1">
        <w:r w:rsidRPr="00E53E52">
          <w:rPr>
            <w:rFonts w:ascii="Century Schoolbook" w:hAnsi="Century Schoolbook"/>
            <w:i/>
            <w:iCs/>
            <w:color w:val="000000"/>
          </w:rPr>
          <w:t>Matter of R-A-</w:t>
        </w:r>
        <w:r w:rsidRPr="00E53E52">
          <w:rPr>
            <w:rFonts w:ascii="Century Schoolbook" w:hAnsi="Century Schoolbook"/>
            <w:color w:val="000000"/>
          </w:rPr>
          <w:t>, 24 I &amp; N Dec. 629 (</w:t>
        </w:r>
        <w:r w:rsidRPr="00E53E52">
          <w:rPr>
            <w:rFonts w:ascii="Century Schoolbook" w:hAnsi="Century Schoolbook" w:cs="Times New Roman"/>
          </w:rPr>
          <w:t xml:space="preserve">AG </w:t>
        </w:r>
        <w:r w:rsidRPr="00E53E52">
          <w:rPr>
            <w:rFonts w:ascii="Century Schoolbook" w:hAnsi="Century Schoolbook"/>
            <w:color w:val="000000"/>
          </w:rPr>
          <w:t>2008)</w:t>
        </w:r>
      </w:hyperlink>
      <w:r w:rsidRPr="00E53E52">
        <w:rPr>
          <w:rFonts w:ascii="Century Schoolbook" w:hAnsi="Century Schoolbook"/>
          <w:color w:val="000000"/>
        </w:rPr>
        <w:t>.</w:t>
      </w:r>
      <w:r w:rsidRPr="00E53E52">
        <w:rPr>
          <w:rStyle w:val="FootnoteReference"/>
          <w:rFonts w:ascii="Century Schoolbook" w:hAnsi="Century Schoolbook"/>
          <w:color w:val="000000"/>
        </w:rPr>
        <w:footnoteReference w:id="7"/>
      </w:r>
      <w:r w:rsidRPr="00E53E52">
        <w:rPr>
          <w:rFonts w:ascii="Century Schoolbook" w:hAnsi="Century Schoolbook"/>
          <w:color w:val="000000"/>
          <w:sz w:val="16"/>
          <w:szCs w:val="16"/>
        </w:rPr>
        <w:t xml:space="preserve"> </w:t>
      </w:r>
    </w:p>
    <w:p w14:paraId="7F0964DA" w14:textId="77777777" w:rsidR="00C05FDF" w:rsidRPr="00E53E52" w:rsidRDefault="00C05FDF" w:rsidP="00C05FDF">
      <w:pPr>
        <w:pStyle w:val="BodyText"/>
        <w:widowControl/>
        <w:spacing w:after="120"/>
        <w:ind w:firstLine="720"/>
        <w:rPr>
          <w:rFonts w:ascii="Century Schoolbook" w:hAnsi="Century Schoolbook"/>
          <w:color w:val="000000"/>
        </w:rPr>
      </w:pPr>
      <w:r w:rsidRPr="00E53E52">
        <w:rPr>
          <w:rFonts w:ascii="Century Schoolbook" w:hAnsi="Century Schoolbook"/>
          <w:color w:val="000000"/>
        </w:rPr>
        <w:t>Here, * * * [t]he Board summarily concluded that “the facts of this case present a valid particular social group,” without explaining how the facts supported this finding or satisfied the particularity and social visibility requirements. This cursory treatment could not, and did not, satisfy the Board’s duty to ensure that the respondent satisfied the statutory requirements to qualify for asylum. The Board’s conclusion that the respondent’s proposed group presents a valid “particular social group” under the INA must be reversed.</w:t>
      </w:r>
    </w:p>
    <w:p w14:paraId="266EF223" w14:textId="77777777" w:rsidR="00C05FDF" w:rsidRPr="00E53E52" w:rsidRDefault="00C05FDF" w:rsidP="00C05FDF">
      <w:pPr>
        <w:pStyle w:val="BodyText"/>
        <w:keepNext/>
        <w:widowControl/>
        <w:spacing w:after="120"/>
        <w:ind w:firstLine="0"/>
        <w:jc w:val="center"/>
        <w:rPr>
          <w:rFonts w:ascii="Century Schoolbook" w:hAnsi="Century Schoolbook"/>
          <w:color w:val="000000"/>
        </w:rPr>
      </w:pPr>
      <w:r w:rsidRPr="00E53E52">
        <w:rPr>
          <w:rFonts w:ascii="Century Schoolbook" w:hAnsi="Century Schoolbook"/>
          <w:color w:val="000000"/>
        </w:rPr>
        <w:t>IV.</w:t>
      </w:r>
    </w:p>
    <w:p w14:paraId="094BF4C5" w14:textId="77777777" w:rsidR="00C05FDF" w:rsidRPr="00E53E52" w:rsidRDefault="00C05FDF" w:rsidP="00C05FDF">
      <w:pPr>
        <w:pStyle w:val="BodyText"/>
        <w:widowControl/>
        <w:spacing w:after="0"/>
        <w:ind w:firstLine="0"/>
        <w:jc w:val="center"/>
        <w:rPr>
          <w:rFonts w:ascii="Century Schoolbook" w:hAnsi="Century Schoolbook"/>
          <w:color w:val="000000"/>
        </w:rPr>
      </w:pPr>
      <w:r w:rsidRPr="00E53E52">
        <w:rPr>
          <w:rFonts w:ascii="Century Schoolbook" w:hAnsi="Century Schoolbook"/>
          <w:color w:val="000000"/>
        </w:rPr>
        <w:t>* * *</w:t>
      </w:r>
    </w:p>
    <w:p w14:paraId="41F9EB0E" w14:textId="77777777" w:rsidR="00C05FDF" w:rsidRPr="00E53E52" w:rsidRDefault="00C05FDF" w:rsidP="00C05FDF">
      <w:pPr>
        <w:pStyle w:val="BodyText"/>
        <w:widowControl/>
        <w:spacing w:after="120"/>
        <w:ind w:firstLine="720"/>
        <w:rPr>
          <w:rFonts w:ascii="Century Schoolbook" w:hAnsi="Century Schoolbook"/>
          <w:color w:val="000000"/>
        </w:rPr>
      </w:pPr>
      <w:r w:rsidRPr="00E53E52">
        <w:rPr>
          <w:rFonts w:ascii="Century Schoolbook" w:hAnsi="Century Schoolbook"/>
          <w:color w:val="000000"/>
        </w:rPr>
        <w:t>For the reasons stated above, I overru</w:t>
      </w:r>
      <w:hyperlink r:id="rId43" w:anchor="co_pp_sp_1650_42" w:history="1">
        <w:r w:rsidRPr="00E53E52">
          <w:rPr>
            <w:rFonts w:ascii="Century Schoolbook" w:hAnsi="Century Schoolbook"/>
            <w:color w:val="000000"/>
          </w:rPr>
          <w:t xml:space="preserve">le the portion of </w:t>
        </w:r>
        <w:r w:rsidRPr="00E53E52">
          <w:rPr>
            <w:rFonts w:ascii="Century Schoolbook" w:hAnsi="Century Schoolbook"/>
            <w:i/>
            <w:iCs/>
            <w:color w:val="000000"/>
          </w:rPr>
          <w:t>Matter of L-E-A-</w:t>
        </w:r>
        <w:r w:rsidRPr="00E53E52">
          <w:rPr>
            <w:rFonts w:ascii="Century Schoolbook" w:hAnsi="Century Schoolbook"/>
            <w:color w:val="000000"/>
          </w:rPr>
          <w:t xml:space="preserve">discussing whether the proposed particular social group is cognizable. </w:t>
        </w:r>
      </w:hyperlink>
      <w:r w:rsidRPr="00E53E52">
        <w:rPr>
          <w:rFonts w:ascii="Century Schoolbook" w:hAnsi="Century Schoolbook"/>
          <w:color w:val="000000"/>
        </w:rPr>
        <w:t>Furthermore, I abrogate all cases inconsistent with this opinion.</w:t>
      </w:r>
    </w:p>
    <w:p w14:paraId="2BBB487C" w14:textId="77777777" w:rsidR="00C05FDF" w:rsidRPr="00E53E52" w:rsidRDefault="00C05FDF" w:rsidP="00C05FDF">
      <w:pPr>
        <w:pStyle w:val="BodyText"/>
        <w:widowControl/>
        <w:spacing w:after="120"/>
        <w:ind w:firstLine="720"/>
        <w:rPr>
          <w:rFonts w:ascii="Century Schoolbook" w:hAnsi="Century Schoolbook"/>
          <w:color w:val="000000"/>
        </w:rPr>
      </w:pPr>
      <w:r w:rsidRPr="00E53E52">
        <w:rPr>
          <w:rFonts w:ascii="Century Schoolbook" w:hAnsi="Century Schoolbook"/>
          <w:color w:val="000000"/>
        </w:rPr>
        <w:t>Although the Board relied on the parties’ concessions to find the existence of a particular social group in this case, it ultimately concluded that the respondent failed to establish a nexus between his purported particular social group and the persecution that he alleged and feared. I leave the Board’s analysis of the nexus requirement undisturbed and remand this matter to the immigration judge for further proceedings consistent with this opinion and the remaining portions of the Board’s decision below.</w:t>
      </w:r>
    </w:p>
    <w:p w14:paraId="4AD89310" w14:textId="77777777" w:rsidR="00C05FDF" w:rsidRPr="00E53E52" w:rsidRDefault="00C05FDF" w:rsidP="00C05FDF">
      <w:pPr>
        <w:pStyle w:val="BodyText"/>
        <w:widowControl/>
        <w:ind w:firstLine="0"/>
        <w:jc w:val="center"/>
        <w:rPr>
          <w:rFonts w:ascii="Century Schoolbook" w:hAnsi="Century Schoolbook"/>
          <w:b/>
          <w:caps/>
        </w:rPr>
      </w:pPr>
      <w:r w:rsidRPr="00E53E52">
        <w:rPr>
          <w:rFonts w:ascii="Century Schoolbook" w:hAnsi="Century Schoolbook"/>
          <w:b/>
          <w:caps/>
        </w:rPr>
        <w:t>________________</w:t>
      </w:r>
    </w:p>
    <w:p w14:paraId="7419CBD1" w14:textId="77777777" w:rsidR="00D0377D" w:rsidRPr="00E53E52" w:rsidRDefault="00F77381" w:rsidP="001D1D6E">
      <w:pPr>
        <w:spacing w:after="120"/>
        <w:rPr>
          <w:rFonts w:ascii="Century Schoolbook" w:hAnsi="Century Schoolbook" w:cs="Times New Roman"/>
          <w:b/>
        </w:rPr>
      </w:pPr>
      <w:r w:rsidRPr="00E53E52">
        <w:rPr>
          <w:rFonts w:ascii="Century Schoolbook" w:hAnsi="Century Schoolbook" w:cs="Times New Roman"/>
          <w:b/>
        </w:rPr>
        <w:t xml:space="preserve">p. 364, </w:t>
      </w:r>
      <w:r w:rsidR="00D0377D" w:rsidRPr="00E53E52">
        <w:rPr>
          <w:rFonts w:ascii="Century Schoolbook" w:hAnsi="Century Schoolbook" w:cs="Times New Roman"/>
          <w:b/>
        </w:rPr>
        <w:t>Re</w:t>
      </w:r>
      <w:r w:rsidR="00A66824" w:rsidRPr="00E53E52">
        <w:rPr>
          <w:rFonts w:ascii="Century Schoolbook" w:hAnsi="Century Schoolbook" w:cs="Times New Roman"/>
          <w:b/>
        </w:rPr>
        <w:t xml:space="preserve">title </w:t>
      </w:r>
      <w:r w:rsidR="00D0377D" w:rsidRPr="00E53E52">
        <w:rPr>
          <w:rFonts w:ascii="Century Schoolbook" w:hAnsi="Century Schoolbook" w:cs="Times New Roman"/>
          <w:b/>
        </w:rPr>
        <w:t>heading</w:t>
      </w:r>
      <w:r w:rsidR="003020FB" w:rsidRPr="00E53E52">
        <w:rPr>
          <w:rFonts w:ascii="Century Schoolbook" w:hAnsi="Century Schoolbook" w:cs="Times New Roman"/>
          <w:b/>
        </w:rPr>
        <w:t>:</w:t>
      </w:r>
    </w:p>
    <w:p w14:paraId="1CACF76E" w14:textId="6D6BD2CB" w:rsidR="003020FB" w:rsidRPr="00E53E52" w:rsidRDefault="003020FB" w:rsidP="001D1D6E">
      <w:pPr>
        <w:spacing w:after="120"/>
        <w:rPr>
          <w:rFonts w:ascii="Century Schoolbook" w:hAnsi="Century Schoolbook" w:cs="Times New Roman"/>
          <w:b/>
        </w:rPr>
      </w:pPr>
      <w:r w:rsidRPr="00E53E52">
        <w:rPr>
          <w:rFonts w:ascii="Century Schoolbook" w:hAnsi="Century Schoolbook" w:cs="Times New Roman"/>
          <w:b/>
        </w:rPr>
        <w:t>d.</w:t>
      </w:r>
      <w:r w:rsidR="00810FDA" w:rsidRPr="00E53E52">
        <w:rPr>
          <w:rFonts w:ascii="Century Schoolbook" w:hAnsi="Century Schoolbook" w:cs="Times New Roman"/>
          <w:b/>
        </w:rPr>
        <w:t xml:space="preserve"> </w:t>
      </w:r>
      <w:r w:rsidRPr="00E53E52">
        <w:rPr>
          <w:rFonts w:ascii="Century Schoolbook" w:hAnsi="Century Schoolbook" w:cs="Times New Roman"/>
          <w:b/>
        </w:rPr>
        <w:t>Threats to Gang Members or Former Gang Members</w:t>
      </w:r>
    </w:p>
    <w:p w14:paraId="4BA37C49" w14:textId="77777777" w:rsidR="00D0377D" w:rsidRPr="00E53E52" w:rsidRDefault="006E2E61" w:rsidP="001D1D6E">
      <w:pPr>
        <w:spacing w:after="120"/>
        <w:rPr>
          <w:rFonts w:ascii="Century Schoolbook" w:hAnsi="Century Schoolbook" w:cs="Times New Roman"/>
          <w:b/>
        </w:rPr>
      </w:pPr>
      <w:r w:rsidRPr="00E53E52">
        <w:rPr>
          <w:rFonts w:ascii="Century Schoolbook" w:hAnsi="Century Schoolbook" w:cs="Times New Roman"/>
          <w:b/>
        </w:rPr>
        <w:t xml:space="preserve">p. </w:t>
      </w:r>
      <w:r w:rsidR="00823F9E" w:rsidRPr="00E53E52">
        <w:rPr>
          <w:rFonts w:ascii="Century Schoolbook" w:hAnsi="Century Schoolbook" w:cs="Times New Roman"/>
          <w:b/>
        </w:rPr>
        <w:t>368, add immediately b</w:t>
      </w:r>
      <w:r w:rsidR="00E84989" w:rsidRPr="00E53E52">
        <w:rPr>
          <w:rFonts w:ascii="Century Schoolbook" w:hAnsi="Century Schoolbook" w:cs="Times New Roman"/>
          <w:b/>
        </w:rPr>
        <w:t>efore</w:t>
      </w:r>
      <w:r w:rsidR="00823F9E" w:rsidRPr="00E53E52">
        <w:rPr>
          <w:rFonts w:ascii="Century Schoolbook" w:hAnsi="Century Schoolbook" w:cs="Times New Roman"/>
          <w:b/>
        </w:rPr>
        <w:t xml:space="preserve"> the Notes on </w:t>
      </w:r>
      <w:r w:rsidR="00823F9E" w:rsidRPr="00E53E52">
        <w:rPr>
          <w:rFonts w:ascii="Century Schoolbook" w:hAnsi="Century Schoolbook" w:cs="Times New Roman"/>
          <w:b/>
          <w:i/>
        </w:rPr>
        <w:t>Benitez Ramos</w:t>
      </w:r>
      <w:r w:rsidR="00823F9E" w:rsidRPr="00E53E52">
        <w:rPr>
          <w:rFonts w:ascii="Century Schoolbook" w:hAnsi="Century Schoolbook" w:cs="Times New Roman"/>
          <w:b/>
        </w:rPr>
        <w:t>:</w:t>
      </w:r>
    </w:p>
    <w:p w14:paraId="59E3E3B2" w14:textId="77777777" w:rsidR="00E84989" w:rsidRPr="00E53E52" w:rsidRDefault="00E84989" w:rsidP="001D1D6E">
      <w:pPr>
        <w:spacing w:after="120"/>
        <w:jc w:val="center"/>
        <w:rPr>
          <w:rFonts w:ascii="Century Schoolbook" w:hAnsi="Century Schoolbook"/>
          <w:b/>
        </w:rPr>
      </w:pPr>
      <w:r w:rsidRPr="00E53E52">
        <w:rPr>
          <w:rFonts w:ascii="Century Schoolbook" w:hAnsi="Century Schoolbook"/>
          <w:b/>
        </w:rPr>
        <w:lastRenderedPageBreak/>
        <w:t>______________</w:t>
      </w:r>
    </w:p>
    <w:p w14:paraId="16A30214" w14:textId="7B528346" w:rsidR="00E84989" w:rsidRPr="00E53E52" w:rsidRDefault="004D2C9B" w:rsidP="0036367F">
      <w:pPr>
        <w:pStyle w:val="BodyText"/>
        <w:widowControl/>
        <w:spacing w:after="120"/>
        <w:ind w:firstLine="720"/>
        <w:rPr>
          <w:rFonts w:ascii="Century Schoolbook" w:hAnsi="Century Schoolbook"/>
        </w:rPr>
      </w:pPr>
      <w:r w:rsidRPr="00E53E52">
        <w:rPr>
          <w:rFonts w:ascii="Century Schoolbook" w:hAnsi="Century Schoolbook"/>
        </w:rPr>
        <w:t xml:space="preserve">Five years after </w:t>
      </w:r>
      <w:r w:rsidRPr="00E53E52">
        <w:rPr>
          <w:rFonts w:ascii="Century Schoolbook" w:hAnsi="Century Schoolbook"/>
          <w:i/>
        </w:rPr>
        <w:t>Benitez Ramos</w:t>
      </w:r>
      <w:r w:rsidRPr="00E53E52">
        <w:rPr>
          <w:rFonts w:ascii="Century Schoolbook" w:hAnsi="Century Schoolbook"/>
        </w:rPr>
        <w:t xml:space="preserve">, the BIA issued </w:t>
      </w:r>
      <w:r w:rsidR="00C57D15" w:rsidRPr="00E53E52">
        <w:rPr>
          <w:rFonts w:ascii="Century Schoolbook" w:hAnsi="Century Schoolbook"/>
          <w:i/>
          <w:iCs/>
        </w:rPr>
        <w:t>Matter of W–G–R–</w:t>
      </w:r>
      <w:r w:rsidR="00C57D15" w:rsidRPr="00E53E52">
        <w:rPr>
          <w:rFonts w:ascii="Century Schoolbook" w:hAnsi="Century Schoolbook"/>
        </w:rPr>
        <w:t>, 26 I &amp; N Dec. 208 (BIA 2014)</w:t>
      </w:r>
      <w:r w:rsidR="00357815" w:rsidRPr="00E53E52">
        <w:rPr>
          <w:rFonts w:ascii="Century Schoolbook" w:hAnsi="Century Schoolbook"/>
        </w:rPr>
        <w:t xml:space="preserve">, </w:t>
      </w:r>
      <w:r w:rsidR="00600EFF" w:rsidRPr="00E53E52">
        <w:rPr>
          <w:rFonts w:ascii="Century Schoolbook" w:hAnsi="Century Schoolbook"/>
        </w:rPr>
        <w:t xml:space="preserve">a precedent decision </w:t>
      </w:r>
      <w:r w:rsidR="00C57D15" w:rsidRPr="00E53E52">
        <w:rPr>
          <w:rFonts w:ascii="Century Schoolbook" w:hAnsi="Century Schoolbook"/>
        </w:rPr>
        <w:t>involving a former gang member.</w:t>
      </w:r>
      <w:r w:rsidR="00357815" w:rsidRPr="00E53E52">
        <w:rPr>
          <w:rFonts w:ascii="Century Schoolbook" w:hAnsi="Century Schoolbook"/>
        </w:rPr>
        <w:t xml:space="preserve"> T</w:t>
      </w:r>
      <w:r w:rsidR="00F751D5" w:rsidRPr="00E53E52">
        <w:rPr>
          <w:rFonts w:ascii="Century Schoolbook" w:hAnsi="Century Schoolbook"/>
        </w:rPr>
        <w:t>he Board rejected the</w:t>
      </w:r>
      <w:r w:rsidR="00E84989" w:rsidRPr="00E53E52">
        <w:rPr>
          <w:rFonts w:ascii="Century Schoolbook" w:hAnsi="Century Schoolbook"/>
        </w:rPr>
        <w:t xml:space="preserve"> protection claim from a former member of the Mara Salvatrucha gang in El Salvador who had left the gang in 2001 after less than a year</w:t>
      </w:r>
      <w:r w:rsidR="00C909C4" w:rsidRPr="00E53E52">
        <w:rPr>
          <w:rFonts w:ascii="Century Schoolbook" w:hAnsi="Century Schoolbook"/>
        </w:rPr>
        <w:t>’</w:t>
      </w:r>
      <w:r w:rsidR="00E84989" w:rsidRPr="00E53E52">
        <w:rPr>
          <w:rFonts w:ascii="Century Schoolbook" w:hAnsi="Century Schoolbook"/>
        </w:rPr>
        <w:t xml:space="preserve">s membership. He had fled to the United States </w:t>
      </w:r>
      <w:r w:rsidR="00C909C4" w:rsidRPr="00E53E52">
        <w:rPr>
          <w:rFonts w:ascii="Century Schoolbook" w:hAnsi="Century Schoolbook"/>
        </w:rPr>
        <w:t>“</w:t>
      </w:r>
      <w:r w:rsidR="00E84989" w:rsidRPr="00E53E52">
        <w:rPr>
          <w:rFonts w:ascii="Century Schoolbook" w:hAnsi="Century Schoolbook"/>
        </w:rPr>
        <w:t>after he was targeted for retribution for leaving the group.</w:t>
      </w:r>
      <w:r w:rsidR="00C909C4" w:rsidRPr="00E53E52">
        <w:rPr>
          <w:rFonts w:ascii="Century Schoolbook" w:hAnsi="Century Schoolbook"/>
        </w:rPr>
        <w:t>”</w:t>
      </w:r>
      <w:r w:rsidR="00E84989" w:rsidRPr="00E53E52">
        <w:rPr>
          <w:rFonts w:ascii="Century Schoolbook" w:hAnsi="Century Schoolbook"/>
        </w:rPr>
        <w:t xml:space="preserve"> </w:t>
      </w:r>
      <w:r w:rsidR="00E84989" w:rsidRPr="00E53E52">
        <w:rPr>
          <w:rFonts w:ascii="Century Schoolbook" w:hAnsi="Century Schoolbook"/>
          <w:i/>
        </w:rPr>
        <w:t>Id</w:t>
      </w:r>
      <w:r w:rsidR="00E84989" w:rsidRPr="00E53E52">
        <w:rPr>
          <w:rFonts w:ascii="Century Schoolbook" w:hAnsi="Century Schoolbook"/>
        </w:rPr>
        <w:t>. at 209. The decision explained (</w:t>
      </w:r>
      <w:r w:rsidR="00E84989" w:rsidRPr="00E53E52">
        <w:rPr>
          <w:rFonts w:ascii="Century Schoolbook" w:hAnsi="Century Schoolbook"/>
          <w:i/>
        </w:rPr>
        <w:t xml:space="preserve">id. </w:t>
      </w:r>
      <w:r w:rsidR="00E84989" w:rsidRPr="00E53E52">
        <w:rPr>
          <w:rFonts w:ascii="Century Schoolbook" w:hAnsi="Century Schoolbook"/>
        </w:rPr>
        <w:t>at 221–22):</w:t>
      </w:r>
    </w:p>
    <w:p w14:paraId="069367A6" w14:textId="77777777" w:rsidR="00E84989" w:rsidRPr="00E53E52" w:rsidRDefault="00E84989" w:rsidP="001D1D6E">
      <w:pPr>
        <w:spacing w:after="120"/>
        <w:ind w:left="720" w:right="720" w:firstLine="720"/>
        <w:jc w:val="both"/>
        <w:rPr>
          <w:rFonts w:ascii="Century Schoolbook" w:hAnsi="Century Schoolbook"/>
        </w:rPr>
      </w:pPr>
      <w:r w:rsidRPr="00E53E52">
        <w:rPr>
          <w:rFonts w:ascii="Century Schoolbook" w:hAnsi="Century Schoolbook"/>
        </w:rPr>
        <w:t>The boundaries of a group are not sufficiently definable unless the members of society generally agree on who is included in the group, and evidence that the social group proposed by the respondent is recognized within the society is lacking in this case.</w:t>
      </w:r>
    </w:p>
    <w:p w14:paraId="5FFC0F7D" w14:textId="49861FF0" w:rsidR="00E84989" w:rsidRPr="00E53E52" w:rsidRDefault="00E84989" w:rsidP="001D1D6E">
      <w:pPr>
        <w:spacing w:after="120"/>
        <w:ind w:left="720" w:right="720" w:firstLine="720"/>
        <w:jc w:val="both"/>
        <w:rPr>
          <w:rFonts w:ascii="Century Schoolbook" w:hAnsi="Century Schoolbook"/>
        </w:rPr>
      </w:pPr>
      <w:r w:rsidRPr="00E53E52">
        <w:rPr>
          <w:rFonts w:ascii="Century Schoolbook" w:hAnsi="Century Schoolbook"/>
        </w:rPr>
        <w:t xml:space="preserve">In this regard, the boundaries of the group of </w:t>
      </w:r>
      <w:r w:rsidR="00C909C4" w:rsidRPr="00E53E52">
        <w:rPr>
          <w:rFonts w:ascii="Century Schoolbook" w:hAnsi="Century Schoolbook"/>
        </w:rPr>
        <w:t>“</w:t>
      </w:r>
      <w:r w:rsidRPr="00E53E52">
        <w:rPr>
          <w:rFonts w:ascii="Century Schoolbook" w:hAnsi="Century Schoolbook"/>
        </w:rPr>
        <w:t>former gang members who have renounced their gang membership</w:t>
      </w:r>
      <w:r w:rsidR="00C909C4" w:rsidRPr="00E53E52">
        <w:rPr>
          <w:rFonts w:ascii="Century Schoolbook" w:hAnsi="Century Schoolbook"/>
        </w:rPr>
        <w:t>”</w:t>
      </w:r>
      <w:r w:rsidRPr="00E53E52">
        <w:rPr>
          <w:rFonts w:ascii="Century Schoolbook" w:hAnsi="Century Schoolbook"/>
        </w:rPr>
        <w:t xml:space="preserve"> are not adequately defined. The group would need further specificity to meet the particularity requirement. Our analysis illustrates the point that when a former association is the immutable characteristic that defines a proposed group, the group will often need to be further defined with respect to the duration or strength of the members</w:t>
      </w:r>
      <w:r w:rsidR="00C909C4" w:rsidRPr="00E53E52">
        <w:rPr>
          <w:rFonts w:ascii="Century Schoolbook" w:hAnsi="Century Schoolbook"/>
        </w:rPr>
        <w:t>’</w:t>
      </w:r>
      <w:r w:rsidRPr="00E53E52">
        <w:rPr>
          <w:rFonts w:ascii="Century Schoolbook" w:hAnsi="Century Schoolbook"/>
        </w:rPr>
        <w:t xml:space="preserve"> active participation in the activity and the recency of their active participation if it is to qualify as a particular social group under the Act.</w:t>
      </w:r>
    </w:p>
    <w:p w14:paraId="63EB137D" w14:textId="77777777" w:rsidR="00E84989" w:rsidRPr="00E53E52" w:rsidRDefault="00E84989" w:rsidP="001D1D6E">
      <w:pPr>
        <w:spacing w:after="120"/>
        <w:ind w:left="720" w:right="720" w:firstLine="720"/>
        <w:jc w:val="both"/>
        <w:rPr>
          <w:rFonts w:ascii="Century Schoolbook" w:hAnsi="Century Schoolbook"/>
        </w:rPr>
      </w:pPr>
      <w:r w:rsidRPr="00E53E52">
        <w:rPr>
          <w:rFonts w:ascii="Century Schoolbook" w:hAnsi="Century Schoolbook"/>
        </w:rPr>
        <w:t>The respondent also has not shown that his proposed social group meets the requirement of social distinction. The record contains scant evidence that Salvadoran society considers former gang members who have renounced their gang membership as a distinct social group. The record contains documentary evidence describing gangs, gang violence, and the treatment of gang members but very little documentation discussing the treatment or status of former gang members.</w:t>
      </w:r>
    </w:p>
    <w:p w14:paraId="4C577D86" w14:textId="77777777" w:rsidR="00E84989" w:rsidRPr="00E53E52" w:rsidRDefault="00E84989" w:rsidP="0036367F">
      <w:pPr>
        <w:pStyle w:val="BodyText"/>
        <w:widowControl/>
        <w:spacing w:after="120"/>
        <w:ind w:firstLine="720"/>
        <w:rPr>
          <w:rFonts w:ascii="Century Schoolbook" w:hAnsi="Century Schoolbook"/>
        </w:rPr>
      </w:pPr>
      <w:r w:rsidRPr="00E53E52">
        <w:rPr>
          <w:rFonts w:ascii="Century Schoolbook" w:hAnsi="Century Schoolbook"/>
        </w:rPr>
        <w:t>The BIA also offered an expanded discussion of when the views or perspective of the persecutor versus those of the society are relevant (</w:t>
      </w:r>
      <w:r w:rsidRPr="00E53E52">
        <w:rPr>
          <w:rFonts w:ascii="Century Schoolbook" w:hAnsi="Century Schoolbook"/>
          <w:i/>
        </w:rPr>
        <w:t xml:space="preserve">id. </w:t>
      </w:r>
      <w:r w:rsidRPr="00E53E52">
        <w:rPr>
          <w:rFonts w:ascii="Century Schoolbook" w:hAnsi="Century Schoolbook"/>
        </w:rPr>
        <w:t>at 223–24):</w:t>
      </w:r>
    </w:p>
    <w:p w14:paraId="537752B9" w14:textId="13E79C55" w:rsidR="00E84989" w:rsidRPr="00E53E52" w:rsidRDefault="00E84989" w:rsidP="001D1D6E">
      <w:pPr>
        <w:spacing w:after="120"/>
        <w:ind w:left="720" w:right="720" w:firstLine="720"/>
        <w:jc w:val="both"/>
        <w:rPr>
          <w:rFonts w:ascii="Century Schoolbook" w:hAnsi="Century Schoolbook"/>
        </w:rPr>
      </w:pPr>
      <w:r w:rsidRPr="00E53E52">
        <w:rPr>
          <w:rFonts w:ascii="Century Schoolbook" w:hAnsi="Century Schoolbook"/>
        </w:rPr>
        <w:t>While the views of the persecutor might play a role in causing members of society to view a particular group as distinct, the persecutor</w:t>
      </w:r>
      <w:r w:rsidR="00C909C4" w:rsidRPr="00E53E52">
        <w:rPr>
          <w:rFonts w:ascii="Century Schoolbook" w:hAnsi="Century Schoolbook"/>
        </w:rPr>
        <w:t>’</w:t>
      </w:r>
      <w:r w:rsidRPr="00E53E52">
        <w:rPr>
          <w:rFonts w:ascii="Century Schoolbook" w:hAnsi="Century Schoolbook"/>
        </w:rPr>
        <w:t>s views play a greater role in determining whether persecution is inflicted on account of the victim</w:t>
      </w:r>
      <w:r w:rsidR="00C909C4" w:rsidRPr="00E53E52">
        <w:rPr>
          <w:rFonts w:ascii="Century Schoolbook" w:hAnsi="Century Schoolbook"/>
        </w:rPr>
        <w:t>’</w:t>
      </w:r>
      <w:r w:rsidRPr="00E53E52">
        <w:rPr>
          <w:rFonts w:ascii="Century Schoolbook" w:hAnsi="Century Schoolbook"/>
        </w:rPr>
        <w:t>s membership in a particular social group. Whether that nexus exists depends on the views and motives of the persecutor. The respondent bears the burden of showing that his membership in a particular social group was or will be a central reason for his persecution. Section 208(b)(1)(B)(i). Thus, in this case, even if the respondent had demonstrated a cognizable particular social group, and his membership in it, he also must show that those he fears would harm him because he belongs to that social group.</w:t>
      </w:r>
    </w:p>
    <w:p w14:paraId="23AD6344" w14:textId="4DCB2578" w:rsidR="00E84989" w:rsidRPr="00E53E52" w:rsidRDefault="00E84989" w:rsidP="001D1D6E">
      <w:pPr>
        <w:spacing w:after="120"/>
        <w:ind w:left="720" w:right="720" w:firstLine="720"/>
        <w:jc w:val="both"/>
        <w:rPr>
          <w:rFonts w:ascii="Century Schoolbook" w:hAnsi="Century Schoolbook"/>
        </w:rPr>
      </w:pPr>
      <w:r w:rsidRPr="00E53E52">
        <w:rPr>
          <w:rFonts w:ascii="Century Schoolbook" w:hAnsi="Century Schoolbook"/>
        </w:rPr>
        <w:lastRenderedPageBreak/>
        <w:t>The respondent has not shown that any acts of retribution or punishment by gang members would be motivated by his status as a former gang member, rather than by the gang members</w:t>
      </w:r>
      <w:r w:rsidR="00C909C4" w:rsidRPr="00E53E52">
        <w:rPr>
          <w:rFonts w:ascii="Century Schoolbook" w:hAnsi="Century Schoolbook"/>
        </w:rPr>
        <w:t>’</w:t>
      </w:r>
      <w:r w:rsidRPr="00E53E52">
        <w:rPr>
          <w:rFonts w:ascii="Century Schoolbook" w:hAnsi="Century Schoolbook"/>
        </w:rPr>
        <w:t xml:space="preserve"> desire to enforce their code of conduct and punish infidelity to the gang. </w:t>
      </w:r>
      <w:r w:rsidRPr="00E53E52">
        <w:rPr>
          <w:rFonts w:ascii="Century Schoolbook" w:hAnsi="Century Schoolbook"/>
          <w:i/>
          <w:iCs/>
        </w:rPr>
        <w:t>See Matter of E–A–G–</w:t>
      </w:r>
      <w:r w:rsidRPr="00E53E52">
        <w:rPr>
          <w:rFonts w:ascii="Century Schoolbook" w:hAnsi="Century Schoolbook"/>
        </w:rPr>
        <w:t xml:space="preserve">, 24 I&amp;N Dec. at 594 (noting that harm to a person who resisted gang recruitment </w:t>
      </w:r>
      <w:r w:rsidR="00C909C4" w:rsidRPr="00E53E52">
        <w:rPr>
          <w:rFonts w:ascii="Century Schoolbook" w:hAnsi="Century Schoolbook"/>
        </w:rPr>
        <w:t>“</w:t>
      </w:r>
      <w:r w:rsidRPr="00E53E52">
        <w:rPr>
          <w:rFonts w:ascii="Century Schoolbook" w:hAnsi="Century Schoolbook"/>
        </w:rPr>
        <w:t>would arise from the individualized reaction of the gang to the specific behavior of the prospective recruit</w:t>
      </w:r>
      <w:r w:rsidR="00C909C4" w:rsidRPr="00E53E52">
        <w:rPr>
          <w:rFonts w:ascii="Century Schoolbook" w:hAnsi="Century Schoolbook"/>
        </w:rPr>
        <w:t>”</w:t>
      </w:r>
      <w:r w:rsidRPr="00E53E52">
        <w:rPr>
          <w:rFonts w:ascii="Century Schoolbook" w:hAnsi="Century Schoolbook"/>
        </w:rPr>
        <w:t xml:space="preserve"> and not from his general status as one who resisted recruitment). Thus, even if the respondent were a member of a cognizable particular social group, the record does not show that the retributive harm the respondent fears would bear a nexus to his status as a former gang member, as opposed to his acts in leaving the gang. </w:t>
      </w:r>
    </w:p>
    <w:p w14:paraId="4DC5FC4C" w14:textId="1F5D9F64" w:rsidR="00E84989" w:rsidRPr="00E53E52" w:rsidRDefault="00BC6F6B" w:rsidP="001D1D6E">
      <w:pPr>
        <w:spacing w:after="120"/>
        <w:jc w:val="center"/>
        <w:rPr>
          <w:rFonts w:ascii="Century Schoolbook" w:hAnsi="Century Schoolbook"/>
          <w:b/>
        </w:rPr>
      </w:pPr>
      <w:r w:rsidRPr="00E53E52">
        <w:rPr>
          <w:rFonts w:ascii="Century Schoolbook" w:hAnsi="Century Schoolbook"/>
          <w:b/>
        </w:rPr>
        <w:t>__________</w:t>
      </w:r>
      <w:r w:rsidR="00E84989" w:rsidRPr="00E53E52">
        <w:rPr>
          <w:rFonts w:ascii="Century Schoolbook" w:hAnsi="Century Schoolbook"/>
          <w:b/>
        </w:rPr>
        <w:t>__________</w:t>
      </w:r>
    </w:p>
    <w:p w14:paraId="3F6CCC39" w14:textId="77777777" w:rsidR="00AC3CBE" w:rsidRPr="00E53E52" w:rsidRDefault="006A1A1B" w:rsidP="001D1D6E">
      <w:pPr>
        <w:spacing w:after="120"/>
        <w:rPr>
          <w:rFonts w:ascii="Century Schoolbook" w:hAnsi="Century Schoolbook" w:cs="Times New Roman"/>
          <w:b/>
        </w:rPr>
      </w:pPr>
      <w:r w:rsidRPr="00E53E52">
        <w:rPr>
          <w:rFonts w:ascii="Century Schoolbook" w:hAnsi="Century Schoolbook" w:cs="Times New Roman"/>
          <w:b/>
        </w:rPr>
        <w:t>p. 368</w:t>
      </w:r>
      <w:r w:rsidR="00141D78" w:rsidRPr="00E53E52">
        <w:rPr>
          <w:rFonts w:ascii="Century Schoolbook" w:hAnsi="Century Schoolbook" w:cs="Times New Roman"/>
          <w:b/>
        </w:rPr>
        <w:t xml:space="preserve">, change heading to </w:t>
      </w:r>
      <w:r w:rsidR="00141D78" w:rsidRPr="00E53E52">
        <w:rPr>
          <w:rFonts w:ascii="Century Schoolbook" w:hAnsi="Century Schoolbook" w:cs="Times New Roman"/>
          <w:b/>
          <w:i/>
        </w:rPr>
        <w:t>Notes on Former Gang Members</w:t>
      </w:r>
      <w:r w:rsidR="00141D78" w:rsidRPr="00E53E52">
        <w:rPr>
          <w:rFonts w:ascii="Century Schoolbook" w:hAnsi="Century Schoolbook" w:cs="Times New Roman"/>
          <w:b/>
        </w:rPr>
        <w:t xml:space="preserve">, and </w:t>
      </w:r>
      <w:r w:rsidR="00AC3CBE" w:rsidRPr="00E53E52">
        <w:rPr>
          <w:rFonts w:ascii="Century Schoolbook" w:hAnsi="Century Schoolbook" w:cs="Times New Roman"/>
          <w:b/>
        </w:rPr>
        <w:t>add new Note 1:</w:t>
      </w:r>
    </w:p>
    <w:p w14:paraId="4BE36DAA" w14:textId="71F5BC98" w:rsidR="0070223E" w:rsidRPr="00E53E52" w:rsidRDefault="0070223E" w:rsidP="0036367F">
      <w:pPr>
        <w:spacing w:after="120"/>
        <w:ind w:firstLine="720"/>
        <w:jc w:val="both"/>
        <w:rPr>
          <w:rFonts w:ascii="Century Schoolbook" w:hAnsi="Century Schoolbook"/>
        </w:rPr>
      </w:pPr>
      <w:r w:rsidRPr="00E53E52">
        <w:rPr>
          <w:rFonts w:ascii="Century Schoolbook" w:hAnsi="Century Schoolbook" w:cs="Times New Roman"/>
        </w:rPr>
        <w:t>1.</w:t>
      </w:r>
      <w:r w:rsidR="00810FDA" w:rsidRPr="00E53E52">
        <w:rPr>
          <w:rFonts w:ascii="Century Schoolbook" w:hAnsi="Century Schoolbook" w:cs="Times New Roman"/>
        </w:rPr>
        <w:t xml:space="preserve"> </w:t>
      </w:r>
      <w:r w:rsidRPr="00E53E52">
        <w:rPr>
          <w:rFonts w:ascii="Century Schoolbook" w:hAnsi="Century Schoolbook" w:cs="Times New Roman"/>
        </w:rPr>
        <w:t xml:space="preserve">Is </w:t>
      </w:r>
      <w:r w:rsidRPr="00E53E52">
        <w:rPr>
          <w:rFonts w:ascii="Century Schoolbook" w:hAnsi="Century Schoolbook"/>
          <w:i/>
          <w:iCs/>
        </w:rPr>
        <w:t xml:space="preserve">Matter of W–G–R– </w:t>
      </w:r>
      <w:r w:rsidRPr="00E53E52">
        <w:rPr>
          <w:rFonts w:ascii="Century Schoolbook" w:hAnsi="Century Schoolbook"/>
          <w:iCs/>
        </w:rPr>
        <w:t>consistent with the Seventh Circuit</w:t>
      </w:r>
      <w:r w:rsidR="00C909C4" w:rsidRPr="00E53E52">
        <w:rPr>
          <w:rFonts w:ascii="Century Schoolbook" w:hAnsi="Century Schoolbook"/>
          <w:iCs/>
        </w:rPr>
        <w:t>’</w:t>
      </w:r>
      <w:r w:rsidRPr="00E53E52">
        <w:rPr>
          <w:rFonts w:ascii="Century Schoolbook" w:hAnsi="Century Schoolbook"/>
          <w:iCs/>
        </w:rPr>
        <w:t xml:space="preserve">s </w:t>
      </w:r>
      <w:r w:rsidRPr="00E53E52">
        <w:rPr>
          <w:rFonts w:ascii="Century Schoolbook" w:hAnsi="Century Schoolbook"/>
          <w:i/>
          <w:iCs/>
        </w:rPr>
        <w:t>Benitez Ramos v. Holder</w:t>
      </w:r>
      <w:r w:rsidRPr="00E53E52">
        <w:rPr>
          <w:rFonts w:ascii="Century Schoolbook" w:hAnsi="Century Schoolbook"/>
          <w:iCs/>
        </w:rPr>
        <w:t>?</w:t>
      </w:r>
      <w:r w:rsidR="00810FDA" w:rsidRPr="00E53E52">
        <w:rPr>
          <w:rFonts w:ascii="Century Schoolbook" w:hAnsi="Century Schoolbook"/>
          <w:iCs/>
        </w:rPr>
        <w:t xml:space="preserve"> </w:t>
      </w:r>
      <w:r w:rsidRPr="00E53E52">
        <w:rPr>
          <w:rFonts w:ascii="Century Schoolbook" w:hAnsi="Century Schoolbook"/>
          <w:iCs/>
        </w:rPr>
        <w:t>With the Ninth Circuit</w:t>
      </w:r>
      <w:r w:rsidR="00C909C4" w:rsidRPr="00E53E52">
        <w:rPr>
          <w:rFonts w:ascii="Century Schoolbook" w:hAnsi="Century Schoolbook"/>
          <w:iCs/>
        </w:rPr>
        <w:t>’</w:t>
      </w:r>
      <w:r w:rsidRPr="00E53E52">
        <w:rPr>
          <w:rFonts w:ascii="Century Schoolbook" w:hAnsi="Century Schoolbook"/>
          <w:iCs/>
        </w:rPr>
        <w:t xml:space="preserve">s </w:t>
      </w:r>
      <w:r w:rsidRPr="00E53E52">
        <w:rPr>
          <w:rFonts w:ascii="Century Schoolbook" w:hAnsi="Century Schoolbook"/>
          <w:i/>
          <w:iCs/>
        </w:rPr>
        <w:t>Arteaga v. Mukasey</w:t>
      </w:r>
      <w:r w:rsidRPr="00E53E52">
        <w:rPr>
          <w:rFonts w:ascii="Century Schoolbook" w:hAnsi="Century Schoolbook"/>
          <w:iCs/>
        </w:rPr>
        <w:t>?</w:t>
      </w:r>
      <w:r w:rsidR="00810FDA" w:rsidRPr="00E53E52">
        <w:rPr>
          <w:rFonts w:ascii="Century Schoolbook" w:hAnsi="Century Schoolbook"/>
          <w:iCs/>
        </w:rPr>
        <w:t xml:space="preserve"> </w:t>
      </w:r>
      <w:r w:rsidRPr="00E53E52">
        <w:rPr>
          <w:rFonts w:ascii="Century Schoolbook" w:hAnsi="Century Schoolbook"/>
          <w:iCs/>
        </w:rPr>
        <w:t>If asked to synthesize the three case holdings, how would you do so?</w:t>
      </w:r>
      <w:r w:rsidR="00810FDA" w:rsidRPr="00E53E52">
        <w:rPr>
          <w:rFonts w:ascii="Century Schoolbook" w:hAnsi="Century Schoolbook"/>
          <w:iCs/>
        </w:rPr>
        <w:t xml:space="preserve"> </w:t>
      </w:r>
      <w:r w:rsidRPr="00E53E52">
        <w:rPr>
          <w:rFonts w:ascii="Century Schoolbook" w:hAnsi="Century Schoolbook"/>
          <w:iCs/>
        </w:rPr>
        <w:t xml:space="preserve">In </w:t>
      </w:r>
      <w:r w:rsidRPr="00E53E52">
        <w:rPr>
          <w:rFonts w:ascii="Century Schoolbook" w:hAnsi="Century Schoolbook"/>
          <w:i/>
          <w:iCs/>
        </w:rPr>
        <w:t>Benitez Ramos</w:t>
      </w:r>
      <w:r w:rsidRPr="00E53E52">
        <w:rPr>
          <w:rFonts w:ascii="Century Schoolbook" w:hAnsi="Century Schoolbook"/>
          <w:iCs/>
        </w:rPr>
        <w:t xml:space="preserve">, Judge Posner says that Mara Salvatrucha is a </w:t>
      </w:r>
      <w:r w:rsidR="00C909C4" w:rsidRPr="00E53E52">
        <w:rPr>
          <w:rFonts w:ascii="Century Schoolbook" w:hAnsi="Century Schoolbook"/>
          <w:iCs/>
        </w:rPr>
        <w:t>“</w:t>
      </w:r>
      <w:r w:rsidRPr="00E53E52">
        <w:rPr>
          <w:rFonts w:ascii="Century Schoolbook" w:hAnsi="Century Schoolbook"/>
          <w:iCs/>
        </w:rPr>
        <w:t>specific, well-recognized, indeed notorious gang. . . . It is neither unspecific nor amorphous.</w:t>
      </w:r>
      <w:r w:rsidR="00C909C4" w:rsidRPr="00E53E52">
        <w:rPr>
          <w:rFonts w:ascii="Century Schoolbook" w:hAnsi="Century Schoolbook"/>
          <w:iCs/>
        </w:rPr>
        <w:t>”</w:t>
      </w:r>
      <w:r w:rsidR="00810FDA" w:rsidRPr="00E53E52">
        <w:rPr>
          <w:rFonts w:ascii="Century Schoolbook" w:hAnsi="Century Schoolbook"/>
          <w:iCs/>
        </w:rPr>
        <w:t xml:space="preserve"> </w:t>
      </w:r>
      <w:r w:rsidRPr="00E53E52">
        <w:rPr>
          <w:rFonts w:ascii="Century Schoolbook" w:hAnsi="Century Schoolbook"/>
          <w:iCs/>
        </w:rPr>
        <w:t xml:space="preserve">Does it follow from his statements that he would take judicial notice that all former members of Mara Salvatrucha meet the </w:t>
      </w:r>
      <w:r w:rsidR="00C909C4" w:rsidRPr="00E53E52">
        <w:rPr>
          <w:rFonts w:ascii="Century Schoolbook" w:hAnsi="Century Schoolbook"/>
          <w:iCs/>
        </w:rPr>
        <w:t>“</w:t>
      </w:r>
      <w:r w:rsidRPr="00E53E52">
        <w:rPr>
          <w:rFonts w:ascii="Century Schoolbook" w:hAnsi="Century Schoolbook"/>
          <w:iCs/>
        </w:rPr>
        <w:t>particularity</w:t>
      </w:r>
      <w:r w:rsidR="00C909C4" w:rsidRPr="00E53E52">
        <w:rPr>
          <w:rFonts w:ascii="Century Schoolbook" w:hAnsi="Century Schoolbook"/>
          <w:iCs/>
        </w:rPr>
        <w:t>”</w:t>
      </w:r>
      <w:r w:rsidRPr="00E53E52">
        <w:rPr>
          <w:rFonts w:ascii="Century Schoolbook" w:hAnsi="Century Schoolbook"/>
          <w:iCs/>
        </w:rPr>
        <w:t xml:space="preserve"> and </w:t>
      </w:r>
      <w:r w:rsidR="00C909C4" w:rsidRPr="00E53E52">
        <w:rPr>
          <w:rFonts w:ascii="Century Schoolbook" w:hAnsi="Century Schoolbook"/>
          <w:iCs/>
        </w:rPr>
        <w:t>“</w:t>
      </w:r>
      <w:r w:rsidRPr="00E53E52">
        <w:rPr>
          <w:rFonts w:ascii="Century Schoolbook" w:hAnsi="Century Schoolbook"/>
          <w:iCs/>
        </w:rPr>
        <w:t>social distinction</w:t>
      </w:r>
      <w:r w:rsidR="00C909C4" w:rsidRPr="00E53E52">
        <w:rPr>
          <w:rFonts w:ascii="Century Schoolbook" w:hAnsi="Century Schoolbook"/>
          <w:iCs/>
        </w:rPr>
        <w:t>”</w:t>
      </w:r>
      <w:r w:rsidRPr="00E53E52">
        <w:rPr>
          <w:rFonts w:ascii="Century Schoolbook" w:hAnsi="Century Schoolbook"/>
          <w:iCs/>
        </w:rPr>
        <w:t xml:space="preserve"> requirements and therefore constitute a particular social group?</w:t>
      </w:r>
    </w:p>
    <w:p w14:paraId="6EF2ED1E" w14:textId="77777777" w:rsidR="00E84989" w:rsidRPr="00E53E52" w:rsidRDefault="0070223E" w:rsidP="001D1D6E">
      <w:pPr>
        <w:spacing w:after="120"/>
        <w:rPr>
          <w:rFonts w:ascii="Century Schoolbook" w:hAnsi="Century Schoolbook" w:cs="Times New Roman"/>
          <w:b/>
        </w:rPr>
      </w:pPr>
      <w:r w:rsidRPr="00E53E52">
        <w:rPr>
          <w:rFonts w:ascii="Century Schoolbook" w:hAnsi="Century Schoolbook" w:cs="Times New Roman"/>
          <w:b/>
        </w:rPr>
        <w:t xml:space="preserve">p. 368, renumber Note 1 as Note 2 and </w:t>
      </w:r>
      <w:r w:rsidR="0003071F" w:rsidRPr="00E53E52">
        <w:rPr>
          <w:rFonts w:ascii="Century Schoolbook" w:hAnsi="Century Schoolbook" w:cs="Times New Roman"/>
          <w:b/>
        </w:rPr>
        <w:t xml:space="preserve">replace </w:t>
      </w:r>
      <w:r w:rsidR="00815375" w:rsidRPr="00E53E52">
        <w:rPr>
          <w:rFonts w:ascii="Century Schoolbook" w:hAnsi="Century Schoolbook" w:cs="Times New Roman"/>
          <w:b/>
        </w:rPr>
        <w:t>first sentence with the following</w:t>
      </w:r>
      <w:r w:rsidR="008E2672" w:rsidRPr="00E53E52">
        <w:rPr>
          <w:rFonts w:ascii="Century Schoolbook" w:hAnsi="Century Schoolbook" w:cs="Times New Roman"/>
          <w:b/>
        </w:rPr>
        <w:t xml:space="preserve"> two sentences</w:t>
      </w:r>
      <w:r w:rsidR="00815375" w:rsidRPr="00E53E52">
        <w:rPr>
          <w:rFonts w:ascii="Century Schoolbook" w:hAnsi="Century Schoolbook" w:cs="Times New Roman"/>
          <w:b/>
        </w:rPr>
        <w:t>:</w:t>
      </w:r>
    </w:p>
    <w:p w14:paraId="787F9A58" w14:textId="7B50FF56" w:rsidR="00815375" w:rsidRPr="00E53E52" w:rsidRDefault="0070223E" w:rsidP="0036367F">
      <w:pPr>
        <w:spacing w:after="120"/>
        <w:ind w:firstLine="720"/>
        <w:jc w:val="both"/>
        <w:rPr>
          <w:rFonts w:ascii="Century Schoolbook" w:hAnsi="Century Schoolbook"/>
        </w:rPr>
      </w:pPr>
      <w:r w:rsidRPr="00E53E52">
        <w:rPr>
          <w:rFonts w:ascii="Century Schoolbook" w:hAnsi="Century Schoolbook" w:cs="Times New Roman"/>
        </w:rPr>
        <w:t>2</w:t>
      </w:r>
      <w:r w:rsidR="00815375" w:rsidRPr="00E53E52">
        <w:rPr>
          <w:rFonts w:ascii="Century Schoolbook" w:hAnsi="Century Schoolbook" w:cs="Times New Roman"/>
        </w:rPr>
        <w:t>.</w:t>
      </w:r>
      <w:r w:rsidR="00810FDA" w:rsidRPr="00E53E52">
        <w:rPr>
          <w:rFonts w:ascii="Century Schoolbook" w:hAnsi="Century Schoolbook" w:cs="Times New Roman"/>
        </w:rPr>
        <w:t xml:space="preserve"> </w:t>
      </w:r>
      <w:r w:rsidR="00B20CC4" w:rsidRPr="00E53E52">
        <w:rPr>
          <w:rFonts w:ascii="Century Schoolbook" w:hAnsi="Century Schoolbook" w:cs="Times New Roman"/>
        </w:rPr>
        <w:t xml:space="preserve">The BIA issued </w:t>
      </w:r>
      <w:r w:rsidR="00815375" w:rsidRPr="00E53E52">
        <w:rPr>
          <w:rFonts w:ascii="Century Schoolbook" w:hAnsi="Century Schoolbook"/>
          <w:i/>
          <w:iCs/>
        </w:rPr>
        <w:t>Matter of W–G–R–</w:t>
      </w:r>
      <w:r w:rsidR="00B20CC4" w:rsidRPr="00E53E52">
        <w:rPr>
          <w:rFonts w:ascii="Century Schoolbook" w:hAnsi="Century Schoolbook"/>
        </w:rPr>
        <w:t xml:space="preserve">as a companion case to </w:t>
      </w:r>
      <w:r w:rsidR="00803916" w:rsidRPr="00E53E52">
        <w:rPr>
          <w:rFonts w:ascii="Century Schoolbook" w:hAnsi="Century Schoolbook"/>
          <w:i/>
        </w:rPr>
        <w:t>Matter of M-E-V-G</w:t>
      </w:r>
      <w:r w:rsidR="00B20CC4" w:rsidRPr="00E53E52">
        <w:rPr>
          <w:rFonts w:ascii="Century Schoolbook" w:hAnsi="Century Schoolbook"/>
          <w:i/>
        </w:rPr>
        <w:t>-</w:t>
      </w:r>
      <w:r w:rsidR="00803916" w:rsidRPr="00E53E52">
        <w:rPr>
          <w:rFonts w:ascii="Century Schoolbook" w:hAnsi="Century Schoolbook"/>
          <w:i/>
        </w:rPr>
        <w:t>, supra.</w:t>
      </w:r>
      <w:r w:rsidR="00810FDA" w:rsidRPr="00E53E52">
        <w:rPr>
          <w:rFonts w:ascii="Century Schoolbook" w:hAnsi="Century Schoolbook"/>
          <w:i/>
        </w:rPr>
        <w:t xml:space="preserve"> </w:t>
      </w:r>
      <w:r w:rsidR="00D36237" w:rsidRPr="00E53E52">
        <w:rPr>
          <w:rFonts w:ascii="Century Schoolbook" w:hAnsi="Century Schoolbook"/>
        </w:rPr>
        <w:t xml:space="preserve">In both </w:t>
      </w:r>
      <w:r w:rsidR="00D36237" w:rsidRPr="00E53E52">
        <w:rPr>
          <w:rFonts w:ascii="Century Schoolbook" w:hAnsi="Century Schoolbook"/>
          <w:i/>
        </w:rPr>
        <w:t>Matter of</w:t>
      </w:r>
      <w:r w:rsidR="00BD6025" w:rsidRPr="00E53E52">
        <w:rPr>
          <w:rFonts w:ascii="Century Schoolbook" w:hAnsi="Century Schoolbook"/>
          <w:i/>
        </w:rPr>
        <w:t xml:space="preserve"> W-G-R-</w:t>
      </w:r>
      <w:r w:rsidR="00BD6025" w:rsidRPr="00E53E52">
        <w:rPr>
          <w:rFonts w:ascii="Century Schoolbook" w:hAnsi="Century Schoolbook"/>
        </w:rPr>
        <w:t xml:space="preserve"> and </w:t>
      </w:r>
      <w:r w:rsidR="00BD6025" w:rsidRPr="00E53E52">
        <w:rPr>
          <w:rFonts w:ascii="Century Schoolbook" w:hAnsi="Century Schoolbook"/>
          <w:i/>
        </w:rPr>
        <w:t>Matter of M-E-V-G-</w:t>
      </w:r>
      <w:r w:rsidR="00BD6025" w:rsidRPr="00E53E52">
        <w:rPr>
          <w:rFonts w:ascii="Century Schoolbook" w:hAnsi="Century Schoolbook"/>
        </w:rPr>
        <w:t>, t</w:t>
      </w:r>
      <w:r w:rsidR="002053A6" w:rsidRPr="00E53E52">
        <w:rPr>
          <w:rFonts w:ascii="Century Schoolbook" w:hAnsi="Century Schoolbook"/>
        </w:rPr>
        <w:t xml:space="preserve">he Board </w:t>
      </w:r>
      <w:r w:rsidR="007F376E" w:rsidRPr="00E53E52">
        <w:rPr>
          <w:rFonts w:ascii="Century Schoolbook" w:hAnsi="Century Schoolbook"/>
        </w:rPr>
        <w:t xml:space="preserve">applied a </w:t>
      </w:r>
      <w:r w:rsidR="00C909C4" w:rsidRPr="00E53E52">
        <w:rPr>
          <w:rFonts w:ascii="Century Schoolbook" w:hAnsi="Century Schoolbook"/>
        </w:rPr>
        <w:t>“</w:t>
      </w:r>
      <w:r w:rsidR="00A70A46" w:rsidRPr="00E53E52">
        <w:rPr>
          <w:rFonts w:ascii="Century Schoolbook" w:hAnsi="Century Schoolbook"/>
        </w:rPr>
        <w:t>social distinction</w:t>
      </w:r>
      <w:r w:rsidR="00C909C4" w:rsidRPr="00E53E52">
        <w:rPr>
          <w:rFonts w:ascii="Century Schoolbook" w:hAnsi="Century Schoolbook"/>
        </w:rPr>
        <w:t>”</w:t>
      </w:r>
      <w:r w:rsidR="00A70A46" w:rsidRPr="00E53E52">
        <w:rPr>
          <w:rFonts w:ascii="Century Schoolbook" w:hAnsi="Century Schoolbook"/>
        </w:rPr>
        <w:t xml:space="preserve"> test</w:t>
      </w:r>
      <w:r w:rsidR="006A7BAF" w:rsidRPr="00E53E52">
        <w:rPr>
          <w:rFonts w:ascii="Century Schoolbook" w:hAnsi="Century Schoolbook"/>
        </w:rPr>
        <w:t>.</w:t>
      </w:r>
      <w:r w:rsidR="00810FDA" w:rsidRPr="00E53E52">
        <w:rPr>
          <w:rFonts w:ascii="Century Schoolbook" w:hAnsi="Century Schoolbook"/>
        </w:rPr>
        <w:t xml:space="preserve"> </w:t>
      </w:r>
      <w:r w:rsidR="006A7BAF" w:rsidRPr="00E53E52">
        <w:rPr>
          <w:rFonts w:ascii="Century Schoolbook" w:hAnsi="Century Schoolbook"/>
        </w:rPr>
        <w:t xml:space="preserve">How is </w:t>
      </w:r>
      <w:r w:rsidR="00C909C4" w:rsidRPr="00E53E52">
        <w:rPr>
          <w:rFonts w:ascii="Century Schoolbook" w:hAnsi="Century Schoolbook"/>
        </w:rPr>
        <w:t>“</w:t>
      </w:r>
      <w:r w:rsidR="006A7BAF" w:rsidRPr="00E53E52">
        <w:rPr>
          <w:rFonts w:ascii="Century Schoolbook" w:hAnsi="Century Schoolbook"/>
        </w:rPr>
        <w:t>social distinction</w:t>
      </w:r>
      <w:r w:rsidR="00C909C4" w:rsidRPr="00E53E52">
        <w:rPr>
          <w:rFonts w:ascii="Century Schoolbook" w:hAnsi="Century Schoolbook"/>
        </w:rPr>
        <w:t>”</w:t>
      </w:r>
      <w:r w:rsidR="006A7BAF" w:rsidRPr="00E53E52">
        <w:rPr>
          <w:rFonts w:ascii="Century Schoolbook" w:hAnsi="Century Schoolbook"/>
        </w:rPr>
        <w:t xml:space="preserve"> different from the </w:t>
      </w:r>
      <w:r w:rsidR="00B827D1" w:rsidRPr="00E53E52">
        <w:rPr>
          <w:rFonts w:ascii="Century Schoolbook" w:hAnsi="Century Schoolbook"/>
        </w:rPr>
        <w:t>government attorney</w:t>
      </w:r>
      <w:r w:rsidR="00C909C4" w:rsidRPr="00E53E52">
        <w:rPr>
          <w:rFonts w:ascii="Century Schoolbook" w:hAnsi="Century Schoolbook"/>
        </w:rPr>
        <w:t>’</w:t>
      </w:r>
      <w:r w:rsidR="00B827D1" w:rsidRPr="00E53E52">
        <w:rPr>
          <w:rFonts w:ascii="Century Schoolbook" w:hAnsi="Century Schoolbook"/>
        </w:rPr>
        <w:t xml:space="preserve">s </w:t>
      </w:r>
      <w:r w:rsidR="00C909C4" w:rsidRPr="00E53E52">
        <w:rPr>
          <w:rFonts w:ascii="Century Schoolbook" w:hAnsi="Century Schoolbook"/>
        </w:rPr>
        <w:t>“</w:t>
      </w:r>
      <w:r w:rsidR="00B827D1" w:rsidRPr="00E53E52">
        <w:rPr>
          <w:rFonts w:ascii="Century Schoolbook" w:hAnsi="Century Schoolbook"/>
        </w:rPr>
        <w:t>social visibility</w:t>
      </w:r>
      <w:r w:rsidR="00C909C4" w:rsidRPr="00E53E52">
        <w:rPr>
          <w:rFonts w:ascii="Century Schoolbook" w:hAnsi="Century Schoolbook"/>
        </w:rPr>
        <w:t>”</w:t>
      </w:r>
      <w:r w:rsidR="00B827D1" w:rsidRPr="00E53E52">
        <w:rPr>
          <w:rFonts w:ascii="Century Schoolbook" w:hAnsi="Century Schoolbook"/>
        </w:rPr>
        <w:t xml:space="preserve"> test </w:t>
      </w:r>
      <w:r w:rsidR="002759B6" w:rsidRPr="00E53E52">
        <w:rPr>
          <w:rFonts w:ascii="Century Schoolbook" w:hAnsi="Century Schoolbook"/>
        </w:rPr>
        <w:t xml:space="preserve">in the </w:t>
      </w:r>
      <w:r w:rsidR="002759B6" w:rsidRPr="00E53E52">
        <w:rPr>
          <w:rFonts w:ascii="Century Schoolbook" w:hAnsi="Century Schoolbook"/>
          <w:i/>
        </w:rPr>
        <w:t>Benitez Ramos</w:t>
      </w:r>
      <w:r w:rsidR="002759B6" w:rsidRPr="00E53E52">
        <w:rPr>
          <w:rFonts w:ascii="Century Schoolbook" w:hAnsi="Century Schoolbook"/>
        </w:rPr>
        <w:t xml:space="preserve"> case?</w:t>
      </w:r>
    </w:p>
    <w:p w14:paraId="52512B50" w14:textId="3E7DF36D" w:rsidR="008E2672" w:rsidRPr="00E53E52" w:rsidRDefault="008E2672" w:rsidP="001D1D6E">
      <w:pPr>
        <w:spacing w:after="120"/>
        <w:rPr>
          <w:rFonts w:ascii="Century Schoolbook" w:hAnsi="Century Schoolbook" w:cs="Times New Roman"/>
          <w:b/>
        </w:rPr>
      </w:pPr>
      <w:r w:rsidRPr="00E53E52">
        <w:rPr>
          <w:rFonts w:ascii="Century Schoolbook" w:hAnsi="Century Schoolbook" w:cs="Times New Roman"/>
          <w:b/>
        </w:rPr>
        <w:t xml:space="preserve">p. 368, </w:t>
      </w:r>
      <w:r w:rsidR="00C77A88" w:rsidRPr="00E53E52">
        <w:rPr>
          <w:rFonts w:ascii="Century Schoolbook" w:hAnsi="Century Schoolbook" w:cs="Times New Roman"/>
          <w:b/>
        </w:rPr>
        <w:t>renumber</w:t>
      </w:r>
      <w:r w:rsidRPr="00E53E52">
        <w:rPr>
          <w:rFonts w:ascii="Century Schoolbook" w:hAnsi="Century Schoolbook" w:cs="Times New Roman"/>
          <w:b/>
        </w:rPr>
        <w:t xml:space="preserve"> Note 2</w:t>
      </w:r>
      <w:r w:rsidR="00C77A88" w:rsidRPr="00E53E52">
        <w:rPr>
          <w:rFonts w:ascii="Century Schoolbook" w:hAnsi="Century Schoolbook" w:cs="Times New Roman"/>
          <w:b/>
        </w:rPr>
        <w:t xml:space="preserve"> </w:t>
      </w:r>
      <w:r w:rsidR="00812AD1" w:rsidRPr="00E53E52">
        <w:rPr>
          <w:rFonts w:ascii="Century Schoolbook" w:hAnsi="Century Schoolbook" w:cs="Times New Roman"/>
          <w:b/>
        </w:rPr>
        <w:t xml:space="preserve">as </w:t>
      </w:r>
      <w:r w:rsidR="000E6823" w:rsidRPr="00E53E52">
        <w:rPr>
          <w:rFonts w:ascii="Century Schoolbook" w:hAnsi="Century Schoolbook" w:cs="Times New Roman"/>
          <w:b/>
        </w:rPr>
        <w:t>Note 3.</w:t>
      </w:r>
    </w:p>
    <w:p w14:paraId="709A57D7" w14:textId="4CE78A6F" w:rsidR="001F752C" w:rsidRPr="00E53E52" w:rsidRDefault="001F752C" w:rsidP="001D1D6E">
      <w:pPr>
        <w:spacing w:after="120"/>
        <w:rPr>
          <w:rFonts w:ascii="Century Schoolbook" w:hAnsi="Century Schoolbook" w:cs="Times New Roman"/>
          <w:b/>
        </w:rPr>
      </w:pPr>
      <w:r w:rsidRPr="00E53E52">
        <w:rPr>
          <w:rFonts w:ascii="Century Schoolbook" w:hAnsi="Century Schoolbook" w:cs="Times New Roman"/>
          <w:b/>
        </w:rPr>
        <w:t>p. 368, add new Note 4:</w:t>
      </w:r>
    </w:p>
    <w:p w14:paraId="6C28B6AF" w14:textId="12BB7AB1" w:rsidR="001F752C" w:rsidRPr="00E53E52" w:rsidRDefault="001F752C" w:rsidP="001D1D6E">
      <w:pPr>
        <w:spacing w:after="120"/>
        <w:ind w:firstLine="720"/>
        <w:jc w:val="both"/>
        <w:rPr>
          <w:rFonts w:ascii="Century Schoolbook" w:hAnsi="Century Schoolbook" w:cs="Times New Roman"/>
        </w:rPr>
      </w:pPr>
      <w:r w:rsidRPr="00E53E52">
        <w:rPr>
          <w:rFonts w:ascii="Century Schoolbook" w:hAnsi="Century Schoolbook" w:cs="Times New Roman"/>
        </w:rPr>
        <w:t>4.</w:t>
      </w:r>
      <w:r w:rsidR="00810FDA" w:rsidRPr="00E53E52">
        <w:rPr>
          <w:rFonts w:ascii="Century Schoolbook" w:hAnsi="Century Schoolbook" w:cs="Times New Roman"/>
        </w:rPr>
        <w:t xml:space="preserve"> </w:t>
      </w:r>
      <w:r w:rsidRPr="00E53E52">
        <w:rPr>
          <w:rFonts w:ascii="Century Schoolbook" w:hAnsi="Century Schoolbook" w:cs="Times New Roman"/>
        </w:rPr>
        <w:t>Violent encounters with gangs continue to play a prominent role in asylum claims in the United States.</w:t>
      </w:r>
      <w:r w:rsidR="00810FDA" w:rsidRPr="00E53E52">
        <w:rPr>
          <w:rFonts w:ascii="Century Schoolbook" w:hAnsi="Century Schoolbook" w:cs="Times New Roman"/>
        </w:rPr>
        <w:t xml:space="preserve"> </w:t>
      </w:r>
      <w:r w:rsidRPr="00E53E52">
        <w:rPr>
          <w:rFonts w:ascii="Century Schoolbook" w:hAnsi="Century Schoolbook" w:cs="Times New Roman"/>
        </w:rPr>
        <w:t xml:space="preserve">New research sheds light on gender dynamics within gang culture, </w:t>
      </w:r>
      <w:r w:rsidRPr="00E53E52">
        <w:rPr>
          <w:rFonts w:ascii="Century Schoolbook" w:hAnsi="Century Schoolbook" w:cs="Times New Roman"/>
          <w:i/>
        </w:rPr>
        <w:t>see</w:t>
      </w:r>
      <w:r w:rsidRPr="00E53E52">
        <w:rPr>
          <w:rFonts w:ascii="Century Schoolbook" w:hAnsi="Century Schoolbook" w:cs="Times New Roman"/>
        </w:rPr>
        <w:t xml:space="preserve"> Thomas Boerman &amp; Jennifer Knapp, </w:t>
      </w:r>
      <w:r w:rsidRPr="00E53E52">
        <w:rPr>
          <w:rFonts w:ascii="Century Schoolbook" w:hAnsi="Century Schoolbook" w:cs="Times New Roman"/>
          <w:i/>
        </w:rPr>
        <w:t>Gang Culture and Violence Against Women in El Salvador, Honduras, Guatemala</w:t>
      </w:r>
      <w:r w:rsidRPr="00E53E52">
        <w:rPr>
          <w:rFonts w:ascii="Century Schoolbook" w:hAnsi="Century Schoolbook" w:cs="Times New Roman"/>
        </w:rPr>
        <w:t>, Immigration Briefings, March 2017, and on gang violence directed against religious leaders.</w:t>
      </w:r>
      <w:r w:rsidR="00810FDA" w:rsidRPr="00E53E52">
        <w:rPr>
          <w:rFonts w:ascii="Century Schoolbook" w:hAnsi="Century Schoolbook" w:cs="Times New Roman"/>
        </w:rPr>
        <w:t xml:space="preserve"> </w:t>
      </w:r>
      <w:r w:rsidRPr="00E53E52">
        <w:rPr>
          <w:rFonts w:ascii="Century Schoolbook" w:hAnsi="Century Schoolbook" w:cs="Times New Roman"/>
        </w:rPr>
        <w:t xml:space="preserve">Sabrineh Ardalan &amp; Thomas Boerman, </w:t>
      </w:r>
      <w:r w:rsidRPr="00E53E52">
        <w:rPr>
          <w:rFonts w:ascii="Century Schoolbook" w:hAnsi="Century Schoolbook" w:cs="Times New Roman"/>
          <w:i/>
        </w:rPr>
        <w:t>Dynamics Between Gangs and the Church:</w:t>
      </w:r>
      <w:r w:rsidR="00810FDA" w:rsidRPr="00E53E52">
        <w:rPr>
          <w:rFonts w:ascii="Century Schoolbook" w:hAnsi="Century Schoolbook" w:cs="Times New Roman"/>
          <w:i/>
        </w:rPr>
        <w:t xml:space="preserve"> </w:t>
      </w:r>
      <w:r w:rsidRPr="00E53E52">
        <w:rPr>
          <w:rFonts w:ascii="Century Schoolbook" w:hAnsi="Century Schoolbook" w:cs="Times New Roman"/>
          <w:i/>
        </w:rPr>
        <w:t>An Overlooked Dimension of Central American Asylum Claims</w:t>
      </w:r>
      <w:r w:rsidRPr="00E53E52">
        <w:rPr>
          <w:rFonts w:ascii="Century Schoolbook" w:hAnsi="Century Schoolbook" w:cs="Times New Roman"/>
        </w:rPr>
        <w:t>, Immigration Briefings, July 2016.</w:t>
      </w:r>
      <w:r w:rsidR="00810FDA" w:rsidRPr="00E53E52">
        <w:rPr>
          <w:rFonts w:ascii="Century Schoolbook" w:hAnsi="Century Schoolbook" w:cs="Times New Roman"/>
        </w:rPr>
        <w:t xml:space="preserve"> </w:t>
      </w:r>
      <w:r w:rsidR="00150F52" w:rsidRPr="00E53E52">
        <w:rPr>
          <w:rFonts w:ascii="Century Schoolbook" w:hAnsi="Century Schoolbook" w:cs="Times New Roman"/>
        </w:rPr>
        <w:t xml:space="preserve">For a valuable </w:t>
      </w:r>
      <w:r w:rsidR="008948E3" w:rsidRPr="00E53E52">
        <w:rPr>
          <w:rFonts w:ascii="Century Schoolbook" w:hAnsi="Century Schoolbook" w:cs="Times New Roman"/>
        </w:rPr>
        <w:t xml:space="preserve">and thorough analysis of gang-related research as relevant to asylum jurisprudence in the United States, see </w:t>
      </w:r>
      <w:r w:rsidR="005C3F98" w:rsidRPr="00E53E52">
        <w:rPr>
          <w:rFonts w:ascii="Century Schoolbook" w:hAnsi="Century Schoolbook"/>
        </w:rPr>
        <w:t>Jayesh Rathod, Eric Hershberg, &amp; Dennis Stinthcomb,</w:t>
      </w:r>
      <w:r w:rsidR="005C3F98" w:rsidRPr="00E53E52">
        <w:rPr>
          <w:rFonts w:ascii="Century Schoolbook" w:hAnsi="Century Schoolbook"/>
          <w:b/>
        </w:rPr>
        <w:t xml:space="preserve"> </w:t>
      </w:r>
      <w:r w:rsidR="005C3F98" w:rsidRPr="00E53E52">
        <w:rPr>
          <w:rFonts w:ascii="Century Schoolbook" w:eastAsia="Times New Roman" w:hAnsi="Century Schoolbook" w:cs="Times New Roman"/>
          <w:i/>
          <w:color w:val="222222"/>
        </w:rPr>
        <w:t>Country Conditions in Central America and Asylum Decision-Making: Report from a January 2017 Workshop</w:t>
      </w:r>
      <w:r w:rsidR="005C3F98" w:rsidRPr="00E53E52">
        <w:rPr>
          <w:rFonts w:ascii="Century Schoolbook" w:eastAsia="Times New Roman" w:hAnsi="Century Schoolbook" w:cs="Times New Roman"/>
          <w:b/>
          <w:bCs/>
          <w:color w:val="222222"/>
        </w:rPr>
        <w:t xml:space="preserve">, </w:t>
      </w:r>
      <w:hyperlink r:id="rId44" w:history="1">
        <w:r w:rsidR="005C3F98" w:rsidRPr="00E53E52">
          <w:rPr>
            <w:rStyle w:val="Hyperlink"/>
            <w:rFonts w:eastAsiaTheme="minorHAnsi"/>
            <w:bCs/>
            <w:sz w:val="22"/>
            <w:szCs w:val="22"/>
          </w:rPr>
          <w:t>https://papers.ssrn.com/sol3/papers.cfm?abstract_id=2954216</w:t>
        </w:r>
      </w:hyperlink>
      <w:r w:rsidR="005C3F98" w:rsidRPr="00E53E52">
        <w:rPr>
          <w:rFonts w:ascii="Century Schoolbook" w:eastAsia="Times New Roman" w:hAnsi="Century Schoolbook" w:cs="Times New Roman"/>
          <w:bCs/>
          <w:color w:val="222222"/>
        </w:rPr>
        <w:t xml:space="preserve">. </w:t>
      </w:r>
    </w:p>
    <w:p w14:paraId="0EF773F5" w14:textId="7C1877E9" w:rsidR="00E84989" w:rsidRPr="00E53E52" w:rsidRDefault="00A36D9D" w:rsidP="001D1D6E">
      <w:pPr>
        <w:spacing w:after="120"/>
        <w:rPr>
          <w:rFonts w:ascii="Century Schoolbook" w:hAnsi="Century Schoolbook" w:cs="Times New Roman"/>
          <w:b/>
        </w:rPr>
      </w:pPr>
      <w:r w:rsidRPr="00E53E52">
        <w:rPr>
          <w:rFonts w:ascii="Century Schoolbook" w:hAnsi="Century Schoolbook" w:cs="Times New Roman"/>
          <w:b/>
        </w:rPr>
        <w:lastRenderedPageBreak/>
        <w:t xml:space="preserve">p. 369, </w:t>
      </w:r>
      <w:r w:rsidR="00A05A89" w:rsidRPr="00E53E52">
        <w:rPr>
          <w:rFonts w:ascii="Century Schoolbook" w:hAnsi="Century Schoolbook" w:cs="Times New Roman"/>
          <w:b/>
        </w:rPr>
        <w:t>add new heading and new text:</w:t>
      </w:r>
    </w:p>
    <w:p w14:paraId="462833F4" w14:textId="5CEE7A46" w:rsidR="00F77381" w:rsidRPr="00E53E52" w:rsidRDefault="00A05A89" w:rsidP="001D1D6E">
      <w:pPr>
        <w:spacing w:after="120"/>
        <w:rPr>
          <w:rFonts w:ascii="Century Schoolbook" w:hAnsi="Century Schoolbook" w:cs="Times New Roman"/>
          <w:b/>
        </w:rPr>
      </w:pPr>
      <w:r w:rsidRPr="00E53E52">
        <w:rPr>
          <w:rFonts w:ascii="Century Schoolbook" w:hAnsi="Century Schoolbook" w:cs="Times New Roman"/>
          <w:b/>
        </w:rPr>
        <w:t>e.</w:t>
      </w:r>
      <w:r w:rsidR="00810FDA" w:rsidRPr="00E53E52">
        <w:rPr>
          <w:rFonts w:ascii="Century Schoolbook" w:hAnsi="Century Schoolbook" w:cs="Times New Roman"/>
          <w:b/>
        </w:rPr>
        <w:t xml:space="preserve"> </w:t>
      </w:r>
      <w:r w:rsidR="00F77381" w:rsidRPr="00E53E52">
        <w:rPr>
          <w:rFonts w:ascii="Century Schoolbook" w:hAnsi="Century Schoolbook"/>
          <w:b/>
        </w:rPr>
        <w:t xml:space="preserve">Unaccompanied Children and Youth </w:t>
      </w:r>
      <w:r w:rsidRPr="00E53E52">
        <w:rPr>
          <w:rFonts w:ascii="Century Schoolbook" w:hAnsi="Century Schoolbook"/>
          <w:b/>
        </w:rPr>
        <w:t>Fleeing Gang Violence</w:t>
      </w:r>
    </w:p>
    <w:p w14:paraId="0F5DE917" w14:textId="3EB4C97A" w:rsidR="00F77381" w:rsidRPr="00E53E52" w:rsidRDefault="00F77381" w:rsidP="0036367F">
      <w:pPr>
        <w:spacing w:after="120"/>
        <w:ind w:firstLine="720"/>
        <w:jc w:val="both"/>
        <w:rPr>
          <w:rFonts w:ascii="Century Schoolbook" w:hAnsi="Century Schoolbook"/>
        </w:rPr>
      </w:pPr>
      <w:r w:rsidRPr="00E53E52">
        <w:rPr>
          <w:rFonts w:ascii="Century Schoolbook" w:hAnsi="Century Schoolbook"/>
        </w:rPr>
        <w:t>More than 47,000 children and youth traveling without their parents crossed the Mexico-United States border between October 2013 and June 2014, 92% more than in the same period in the prior year</w:t>
      </w:r>
      <w:r w:rsidR="00027B0C" w:rsidRPr="00E53E52">
        <w:rPr>
          <w:rFonts w:ascii="Century Schoolbook" w:hAnsi="Century Schoolbook"/>
        </w:rPr>
        <w:t xml:space="preserve">. </w:t>
      </w:r>
      <w:r w:rsidRPr="00E53E52">
        <w:rPr>
          <w:rFonts w:ascii="Century Schoolbook" w:hAnsi="Century Schoolbook"/>
        </w:rPr>
        <w:t>Most were from Honduras, El Salvador, and Guatemala, and many said that they were fleeing gangs and gang violence</w:t>
      </w:r>
      <w:r w:rsidR="00027B0C" w:rsidRPr="00E53E52">
        <w:rPr>
          <w:rFonts w:ascii="Century Schoolbook" w:hAnsi="Century Schoolbook"/>
        </w:rPr>
        <w:t xml:space="preserve">. </w:t>
      </w:r>
      <w:r w:rsidRPr="00E53E52">
        <w:rPr>
          <w:rFonts w:ascii="Century Schoolbook" w:hAnsi="Century Schoolbook"/>
        </w:rPr>
        <w:t xml:space="preserve">Julia Preston, </w:t>
      </w:r>
      <w:r w:rsidRPr="00E53E52">
        <w:rPr>
          <w:rFonts w:ascii="Century Schoolbook" w:hAnsi="Century Schoolbook"/>
          <w:i/>
        </w:rPr>
        <w:t xml:space="preserve">New U.S. Effort to Aid Unaccompanied Child Migrants, </w:t>
      </w:r>
      <w:r w:rsidRPr="00E53E52">
        <w:rPr>
          <w:rFonts w:ascii="Century Schoolbook" w:hAnsi="Century Schoolbook"/>
        </w:rPr>
        <w:t>N</w:t>
      </w:r>
      <w:r w:rsidR="00AD30DB" w:rsidRPr="00E53E52">
        <w:rPr>
          <w:rFonts w:ascii="Century Schoolbook" w:hAnsi="Century Schoolbook"/>
        </w:rPr>
        <w:t>.</w:t>
      </w:r>
      <w:r w:rsidRPr="00E53E52">
        <w:rPr>
          <w:rFonts w:ascii="Century Schoolbook" w:hAnsi="Century Schoolbook"/>
        </w:rPr>
        <w:t>Y</w:t>
      </w:r>
      <w:r w:rsidR="00AD30DB" w:rsidRPr="00E53E52">
        <w:rPr>
          <w:rFonts w:ascii="Century Schoolbook" w:hAnsi="Century Schoolbook"/>
        </w:rPr>
        <w:t>.</w:t>
      </w:r>
      <w:r w:rsidRPr="00E53E52">
        <w:rPr>
          <w:rFonts w:ascii="Century Schoolbook" w:hAnsi="Century Schoolbook"/>
        </w:rPr>
        <w:t xml:space="preserve"> Times, June 3, 2014</w:t>
      </w:r>
      <w:r w:rsidR="00782857" w:rsidRPr="00E53E52">
        <w:rPr>
          <w:rFonts w:ascii="Century Schoolbook" w:hAnsi="Century Schoolbook"/>
        </w:rPr>
        <w:t>, at A14</w:t>
      </w:r>
      <w:r w:rsidR="00027B0C" w:rsidRPr="00E53E52">
        <w:rPr>
          <w:rFonts w:ascii="Century Schoolbook" w:hAnsi="Century Schoolbook"/>
        </w:rPr>
        <w:t xml:space="preserve">. </w:t>
      </w:r>
      <w:r w:rsidRPr="00E53E52">
        <w:rPr>
          <w:rFonts w:ascii="Century Schoolbook" w:hAnsi="Century Schoolbook"/>
        </w:rPr>
        <w:t xml:space="preserve">President Obama ordered FEMA, the Federal Emergency Management Agency, to coordinate efforts to shelter the minors while their legal claims could be assessed and family members in the United States could be located. </w:t>
      </w:r>
      <w:r w:rsidRPr="00E53E52">
        <w:rPr>
          <w:rFonts w:ascii="Century Schoolbook" w:hAnsi="Century Schoolbook"/>
          <w:i/>
        </w:rPr>
        <w:t>Id</w:t>
      </w:r>
      <w:r w:rsidR="00027B0C" w:rsidRPr="00E53E52">
        <w:rPr>
          <w:rFonts w:ascii="Century Schoolbook" w:hAnsi="Century Schoolbook"/>
          <w:i/>
        </w:rPr>
        <w:t xml:space="preserve">. </w:t>
      </w:r>
      <w:r w:rsidRPr="00E53E52">
        <w:rPr>
          <w:rFonts w:ascii="Century Schoolbook" w:hAnsi="Century Schoolbook"/>
        </w:rPr>
        <w:t>By July 29, 2014, the number had increased to 57,000</w:t>
      </w:r>
      <w:r w:rsidR="00027B0C" w:rsidRPr="00E53E52">
        <w:rPr>
          <w:rFonts w:ascii="Century Schoolbook" w:hAnsi="Century Schoolbook"/>
        </w:rPr>
        <w:t xml:space="preserve">. </w:t>
      </w:r>
      <w:r w:rsidRPr="00E53E52">
        <w:rPr>
          <w:rFonts w:ascii="Century Schoolbook" w:hAnsi="Century Schoolbook"/>
        </w:rPr>
        <w:t xml:space="preserve">Julia Preston, </w:t>
      </w:r>
      <w:r w:rsidRPr="00E53E52">
        <w:rPr>
          <w:rFonts w:ascii="Century Schoolbook" w:hAnsi="Century Schoolbook"/>
          <w:i/>
        </w:rPr>
        <w:t xml:space="preserve">Most in Poll Say Children at Border Merit Relief, </w:t>
      </w:r>
      <w:r w:rsidR="00AD30DB" w:rsidRPr="00E53E52">
        <w:rPr>
          <w:rFonts w:ascii="Century Schoolbook" w:hAnsi="Century Schoolbook"/>
        </w:rPr>
        <w:t xml:space="preserve">N.Y. Times, </w:t>
      </w:r>
      <w:r w:rsidRPr="00E53E52">
        <w:rPr>
          <w:rFonts w:ascii="Century Schoolbook" w:hAnsi="Century Schoolbook"/>
        </w:rPr>
        <w:t>July 29, 2014</w:t>
      </w:r>
      <w:r w:rsidR="00C768FB" w:rsidRPr="00E53E52">
        <w:rPr>
          <w:rFonts w:ascii="Century Schoolbook" w:hAnsi="Century Schoolbook"/>
        </w:rPr>
        <w:t>, at A14</w:t>
      </w:r>
      <w:r w:rsidRPr="00E53E52">
        <w:rPr>
          <w:rFonts w:ascii="Century Schoolbook" w:hAnsi="Century Schoolbook"/>
        </w:rPr>
        <w:t>. House and Senate Committees held hearings, DOJ and EOIR announced measures to redeploy resources to respond to the urgent new circumstances, and the President sought a $4.3 billion emergency supplemental appropriation to respond to the crisis, with $3.7 billion earmarked for the health and safety of the recently arrived unaccompanied children and youth</w:t>
      </w:r>
      <w:r w:rsidR="00027B0C" w:rsidRPr="00E53E52">
        <w:rPr>
          <w:rFonts w:ascii="Century Schoolbook" w:hAnsi="Century Schoolbook"/>
        </w:rPr>
        <w:t xml:space="preserve">. </w:t>
      </w:r>
      <w:r w:rsidRPr="00E53E52">
        <w:rPr>
          <w:rFonts w:ascii="Century Schoolbook" w:hAnsi="Century Schoolbook"/>
        </w:rPr>
        <w:t xml:space="preserve">91 </w:t>
      </w:r>
      <w:r w:rsidR="00170EDF" w:rsidRPr="00E53E52">
        <w:rPr>
          <w:rFonts w:ascii="Century Schoolbook" w:hAnsi="Century Schoolbook"/>
        </w:rPr>
        <w:t>Interp.</w:t>
      </w:r>
      <w:r w:rsidR="006F6BEB" w:rsidRPr="00E53E52">
        <w:rPr>
          <w:rFonts w:ascii="Century Schoolbook" w:hAnsi="Century Schoolbook"/>
        </w:rPr>
        <w:t xml:space="preserve"> </w:t>
      </w:r>
      <w:r w:rsidR="00170EDF" w:rsidRPr="00E53E52">
        <w:rPr>
          <w:rFonts w:ascii="Century Schoolbook" w:hAnsi="Century Schoolbook"/>
        </w:rPr>
        <w:t>Rel.</w:t>
      </w:r>
      <w:r w:rsidRPr="00E53E52">
        <w:rPr>
          <w:rFonts w:ascii="Century Schoolbook" w:hAnsi="Century Schoolbook"/>
        </w:rPr>
        <w:t xml:space="preserve"> 1204-1210, July 14, 2014</w:t>
      </w:r>
      <w:r w:rsidR="00027B0C" w:rsidRPr="00E53E52">
        <w:rPr>
          <w:rFonts w:ascii="Century Schoolbook" w:hAnsi="Century Schoolbook"/>
        </w:rPr>
        <w:t xml:space="preserve">. </w:t>
      </w:r>
    </w:p>
    <w:p w14:paraId="20C3DBD8" w14:textId="77777777" w:rsidR="00027B0C" w:rsidRPr="00E53E52" w:rsidRDefault="00F77381" w:rsidP="0036367F">
      <w:pPr>
        <w:spacing w:after="120"/>
        <w:ind w:firstLine="720"/>
        <w:jc w:val="both"/>
        <w:rPr>
          <w:rFonts w:ascii="Century Schoolbook" w:hAnsi="Century Schoolbook"/>
        </w:rPr>
      </w:pPr>
      <w:r w:rsidRPr="00E53E52">
        <w:rPr>
          <w:rFonts w:ascii="Century Schoolbook" w:hAnsi="Century Schoolbook"/>
        </w:rPr>
        <w:t>Political debate became heated. Republicans proposed to amend the 2008 Trafficking Victims Protection Reauthorization Act (TVPRA), which mandates that unaccompanied children from all countries other than Mexico and Canada be placed in formal removal proceedings and cared for by the Department of Health and Human Services while in U.S. custody</w:t>
      </w:r>
      <w:r w:rsidR="00027B0C" w:rsidRPr="00E53E52">
        <w:rPr>
          <w:rFonts w:ascii="Century Schoolbook" w:hAnsi="Century Schoolbook"/>
        </w:rPr>
        <w:t xml:space="preserve">. </w:t>
      </w:r>
      <w:r w:rsidRPr="00E53E52">
        <w:rPr>
          <w:rFonts w:ascii="Century Schoolbook" w:hAnsi="Century Schoolbook"/>
        </w:rPr>
        <w:t xml:space="preserve">The </w:t>
      </w:r>
      <w:r w:rsidR="00170EDF" w:rsidRPr="00E53E52">
        <w:rPr>
          <w:rFonts w:ascii="Century Schoolbook" w:hAnsi="Century Schoolbook"/>
        </w:rPr>
        <w:t xml:space="preserve">initial </w:t>
      </w:r>
      <w:r w:rsidRPr="00E53E52">
        <w:rPr>
          <w:rFonts w:ascii="Century Schoolbook" w:hAnsi="Century Schoolbook"/>
        </w:rPr>
        <w:t>Republican bill would expedite the removal of all unaccompanied minors, deploy the National Guard on the border with Mexico, and appropriate $1.7 billion to respond to the crisis</w:t>
      </w:r>
      <w:r w:rsidR="00027B0C" w:rsidRPr="00E53E52">
        <w:rPr>
          <w:rFonts w:ascii="Century Schoolbook" w:hAnsi="Century Schoolbook"/>
        </w:rPr>
        <w:t xml:space="preserve">. </w:t>
      </w:r>
      <w:r w:rsidRPr="00E53E52">
        <w:rPr>
          <w:rFonts w:ascii="Century Schoolbook" w:hAnsi="Century Schoolbook"/>
        </w:rPr>
        <w:t>Democratic lawmakers generally opposed amending the TVPRA and sought greater emergency funding</w:t>
      </w:r>
      <w:r w:rsidR="00027B0C" w:rsidRPr="00E53E52">
        <w:rPr>
          <w:rFonts w:ascii="Century Schoolbook" w:hAnsi="Century Schoolbook"/>
        </w:rPr>
        <w:t xml:space="preserve">. </w:t>
      </w:r>
      <w:r w:rsidRPr="00E53E52">
        <w:rPr>
          <w:rFonts w:ascii="Century Schoolbook" w:hAnsi="Century Schoolbook"/>
        </w:rPr>
        <w:t xml:space="preserve">Theodore Schleifer, </w:t>
      </w:r>
      <w:r w:rsidRPr="00E53E52">
        <w:rPr>
          <w:rFonts w:ascii="Century Schoolbook" w:hAnsi="Century Schoolbook"/>
          <w:i/>
        </w:rPr>
        <w:t xml:space="preserve">G.O.P. Plan on Migrants Calls for Less Cash than Democrats and Obama </w:t>
      </w:r>
      <w:r w:rsidR="00DB2E6B" w:rsidRPr="00E53E52">
        <w:rPr>
          <w:rFonts w:ascii="Century Schoolbook" w:hAnsi="Century Schoolbook"/>
          <w:i/>
        </w:rPr>
        <w:t>Seek,</w:t>
      </w:r>
      <w:r w:rsidRPr="00E53E52">
        <w:rPr>
          <w:rFonts w:ascii="Century Schoolbook" w:hAnsi="Century Schoolbook"/>
          <w:i/>
        </w:rPr>
        <w:t xml:space="preserve"> </w:t>
      </w:r>
      <w:r w:rsidR="006D0E8D" w:rsidRPr="00E53E52">
        <w:rPr>
          <w:rFonts w:ascii="Century Schoolbook" w:hAnsi="Century Schoolbook"/>
        </w:rPr>
        <w:t>N.Y. Times</w:t>
      </w:r>
      <w:r w:rsidRPr="00E53E52">
        <w:rPr>
          <w:rFonts w:ascii="Century Schoolbook" w:hAnsi="Century Schoolbook"/>
        </w:rPr>
        <w:t>, July 23, 2014</w:t>
      </w:r>
      <w:r w:rsidR="00782857" w:rsidRPr="00E53E52">
        <w:rPr>
          <w:rFonts w:ascii="Century Schoolbook" w:hAnsi="Century Schoolbook"/>
        </w:rPr>
        <w:t>, at A19</w:t>
      </w:r>
      <w:r w:rsidR="00027B0C" w:rsidRPr="00E53E52">
        <w:rPr>
          <w:rFonts w:ascii="Century Schoolbook" w:hAnsi="Century Schoolbook"/>
        </w:rPr>
        <w:t xml:space="preserve">. </w:t>
      </w:r>
      <w:r w:rsidR="00AD30DB" w:rsidRPr="00E53E52">
        <w:rPr>
          <w:rFonts w:ascii="Century Schoolbook" w:hAnsi="Century Schoolbook"/>
        </w:rPr>
        <w:t xml:space="preserve">Before leaving on August 1st for a </w:t>
      </w:r>
      <w:r w:rsidR="00DB2E6B" w:rsidRPr="00E53E52">
        <w:rPr>
          <w:rFonts w:ascii="Century Schoolbook" w:hAnsi="Century Schoolbook"/>
        </w:rPr>
        <w:t>five-week</w:t>
      </w:r>
      <w:r w:rsidR="00AD30DB" w:rsidRPr="00E53E52">
        <w:rPr>
          <w:rFonts w:ascii="Century Schoolbook" w:hAnsi="Century Schoolbook"/>
        </w:rPr>
        <w:t xml:space="preserve"> recess, the House passed two bills</w:t>
      </w:r>
      <w:r w:rsidR="009B6AFF" w:rsidRPr="00E53E52">
        <w:rPr>
          <w:rFonts w:ascii="Century Schoolbook" w:hAnsi="Century Schoolbook"/>
        </w:rPr>
        <w:t>, neither of which had a chance of becoming law.</w:t>
      </w:r>
      <w:r w:rsidR="00AD30DB" w:rsidRPr="00E53E52">
        <w:rPr>
          <w:rFonts w:ascii="Century Schoolbook" w:hAnsi="Century Schoolbook"/>
        </w:rPr>
        <w:t xml:space="preserve"> The first authorized $694 million for the border crisis, approved expedited removal for children at the border, and supported an increased presence of the National Guard</w:t>
      </w:r>
      <w:r w:rsidR="00027B0C" w:rsidRPr="00E53E52">
        <w:rPr>
          <w:rFonts w:ascii="Century Schoolbook" w:hAnsi="Century Schoolbook"/>
        </w:rPr>
        <w:t xml:space="preserve">. </w:t>
      </w:r>
      <w:r w:rsidR="00AD30DB" w:rsidRPr="00E53E52">
        <w:rPr>
          <w:rFonts w:ascii="Century Schoolbook" w:hAnsi="Century Schoolbook"/>
        </w:rPr>
        <w:t xml:space="preserve">The second </w:t>
      </w:r>
      <w:r w:rsidR="00FA403D" w:rsidRPr="00E53E52">
        <w:rPr>
          <w:rFonts w:ascii="Century Schoolbook" w:hAnsi="Century Schoolbook"/>
        </w:rPr>
        <w:t>would phase out the Deferred Action for Childhood Arrivals (DACA) program started in June 2012</w:t>
      </w:r>
      <w:r w:rsidR="00027B0C" w:rsidRPr="00E53E52">
        <w:rPr>
          <w:rFonts w:ascii="Century Schoolbook" w:hAnsi="Century Schoolbook"/>
        </w:rPr>
        <w:t xml:space="preserve">. </w:t>
      </w:r>
      <w:r w:rsidR="009B6AFF" w:rsidRPr="00E53E52">
        <w:rPr>
          <w:rFonts w:ascii="Century Schoolbook" w:hAnsi="Century Schoolbook"/>
        </w:rPr>
        <w:t>With Congress deadlocked and in recess, no legislative action was in sight</w:t>
      </w:r>
      <w:r w:rsidR="00027B0C" w:rsidRPr="00E53E52">
        <w:rPr>
          <w:rFonts w:ascii="Century Schoolbook" w:hAnsi="Century Schoolbook"/>
        </w:rPr>
        <w:t xml:space="preserve">. </w:t>
      </w:r>
      <w:r w:rsidR="009B6AFF" w:rsidRPr="00E53E52">
        <w:rPr>
          <w:rFonts w:ascii="Century Schoolbook" w:hAnsi="Century Schoolbook"/>
        </w:rPr>
        <w:t xml:space="preserve">Jonathan Weisman and Ashley Parker, </w:t>
      </w:r>
      <w:r w:rsidR="009B6AFF" w:rsidRPr="00E53E52">
        <w:rPr>
          <w:rFonts w:ascii="Century Schoolbook" w:hAnsi="Century Schoolbook"/>
          <w:i/>
        </w:rPr>
        <w:t>Congress Off for the Exits, But Few Cheer</w:t>
      </w:r>
      <w:r w:rsidR="009B6AFF" w:rsidRPr="00E53E52">
        <w:rPr>
          <w:rFonts w:ascii="Century Schoolbook" w:hAnsi="Century Schoolbook"/>
        </w:rPr>
        <w:t>, N.Y. Times, Aug. 1, 2014</w:t>
      </w:r>
      <w:r w:rsidR="00782857" w:rsidRPr="00E53E52">
        <w:rPr>
          <w:rFonts w:ascii="Century Schoolbook" w:hAnsi="Century Schoolbook"/>
        </w:rPr>
        <w:t>,</w:t>
      </w:r>
      <w:r w:rsidR="009B6AFF" w:rsidRPr="00E53E52">
        <w:rPr>
          <w:rFonts w:ascii="Century Schoolbook" w:hAnsi="Century Schoolbook"/>
        </w:rPr>
        <w:t xml:space="preserve"> at A1</w:t>
      </w:r>
      <w:r w:rsidR="00782857" w:rsidRPr="00E53E52">
        <w:rPr>
          <w:rFonts w:ascii="Century Schoolbook" w:hAnsi="Century Schoolbook"/>
        </w:rPr>
        <w:t>.</w:t>
      </w:r>
      <w:r w:rsidR="00AD30DB" w:rsidRPr="00E53E52">
        <w:rPr>
          <w:rFonts w:ascii="Century Schoolbook" w:hAnsi="Century Schoolbook"/>
        </w:rPr>
        <w:t xml:space="preserve"> </w:t>
      </w:r>
      <w:r w:rsidRPr="00E53E52">
        <w:rPr>
          <w:rFonts w:ascii="Century Schoolbook" w:hAnsi="Century Schoolbook"/>
        </w:rPr>
        <w:t xml:space="preserve">For a useful summary of the legal issues, see Lisa Seghetti, Alison Siskin, &amp; Ruth Ellen Wasem, </w:t>
      </w:r>
      <w:r w:rsidRPr="00E53E52">
        <w:rPr>
          <w:rFonts w:ascii="Century Schoolbook" w:hAnsi="Century Schoolbook"/>
          <w:i/>
        </w:rPr>
        <w:t>Unaccompanied Alien Children: An Overview</w:t>
      </w:r>
      <w:r w:rsidRPr="00E53E52">
        <w:rPr>
          <w:rFonts w:ascii="Century Schoolbook" w:hAnsi="Century Schoolbook"/>
        </w:rPr>
        <w:t xml:space="preserve">, Congressional Research Service, June 23, 2014, </w:t>
      </w:r>
      <w:hyperlink r:id="rId45" w:history="1">
        <w:r w:rsidRPr="00E53E52">
          <w:rPr>
            <w:rStyle w:val="Hyperlink"/>
            <w:rFonts w:eastAsiaTheme="minorHAnsi" w:cstheme="minorBidi"/>
            <w:sz w:val="22"/>
            <w:szCs w:val="22"/>
          </w:rPr>
          <w:t>http://fas.org/sgp/crs/homesec/R43599.pdf</w:t>
        </w:r>
      </w:hyperlink>
      <w:r w:rsidR="00027B0C" w:rsidRPr="00E53E52">
        <w:rPr>
          <w:rFonts w:ascii="Century Schoolbook" w:hAnsi="Century Schoolbook"/>
        </w:rPr>
        <w:t xml:space="preserve">. </w:t>
      </w:r>
    </w:p>
    <w:p w14:paraId="14D5A1B2" w14:textId="77777777" w:rsidR="00F77381" w:rsidRPr="00E53E52" w:rsidRDefault="00F77381" w:rsidP="0036367F">
      <w:pPr>
        <w:spacing w:after="120"/>
        <w:ind w:firstLine="720"/>
        <w:jc w:val="both"/>
        <w:rPr>
          <w:rFonts w:ascii="Century Schoolbook" w:hAnsi="Century Schoolbook"/>
        </w:rPr>
      </w:pPr>
      <w:r w:rsidRPr="00E53E52">
        <w:rPr>
          <w:rFonts w:ascii="Century Schoolbook" w:hAnsi="Century Schoolbook"/>
        </w:rPr>
        <w:t>UNHCR interviewed hundreds of unaccompanied children from Honduras, El Salvador, Guatemala, and Mexico and reported that 58% presented credible claims that warranted international protection</w:t>
      </w:r>
      <w:r w:rsidR="00027B0C" w:rsidRPr="00E53E52">
        <w:rPr>
          <w:rFonts w:ascii="Century Schoolbook" w:hAnsi="Century Schoolbook"/>
        </w:rPr>
        <w:t xml:space="preserve">. </w:t>
      </w:r>
      <w:r w:rsidRPr="00E53E52">
        <w:rPr>
          <w:rFonts w:ascii="Century Schoolbook" w:hAnsi="Century Schoolbook"/>
        </w:rPr>
        <w:t xml:space="preserve">UNHCR, </w:t>
      </w:r>
      <w:r w:rsidRPr="00E53E52">
        <w:rPr>
          <w:rFonts w:ascii="Century Schoolbook" w:hAnsi="Century Schoolbook"/>
          <w:i/>
        </w:rPr>
        <w:t>Children on the Run: Unaccompanied Children Leaving Central America and Mexico and the Need for International Protection</w:t>
      </w:r>
      <w:r w:rsidRPr="00E53E52">
        <w:rPr>
          <w:rFonts w:ascii="Century Schoolbook" w:hAnsi="Century Schoolbook"/>
        </w:rPr>
        <w:t xml:space="preserve">, March 2014, </w:t>
      </w:r>
      <w:hyperlink r:id="rId46" w:history="1">
        <w:r w:rsidRPr="00E53E52">
          <w:rPr>
            <w:rStyle w:val="Hyperlink"/>
            <w:rFonts w:eastAsiaTheme="minorHAnsi" w:cstheme="minorBidi"/>
            <w:sz w:val="22"/>
            <w:szCs w:val="22"/>
          </w:rPr>
          <w:t>http://www.unhcrwashington.org/sites/default/files/1_UAC_Children%20on%20the%20Run_Full%20Report.pdf</w:t>
        </w:r>
      </w:hyperlink>
      <w:r w:rsidR="00027B0C" w:rsidRPr="00E53E52">
        <w:rPr>
          <w:rFonts w:ascii="Century Schoolbook" w:hAnsi="Century Schoolbook"/>
        </w:rPr>
        <w:t xml:space="preserve">. </w:t>
      </w:r>
      <w:r w:rsidRPr="00E53E52">
        <w:rPr>
          <w:rFonts w:ascii="Century Schoolbook" w:hAnsi="Century Schoolbook"/>
        </w:rPr>
        <w:t xml:space="preserve">Advocates </w:t>
      </w:r>
      <w:r w:rsidR="00C768FB" w:rsidRPr="00E53E52">
        <w:rPr>
          <w:rFonts w:ascii="Century Schoolbook" w:hAnsi="Century Schoolbook"/>
        </w:rPr>
        <w:t xml:space="preserve">for immigrants </w:t>
      </w:r>
      <w:r w:rsidRPr="00E53E52">
        <w:rPr>
          <w:rFonts w:ascii="Century Schoolbook" w:hAnsi="Century Schoolbook"/>
        </w:rPr>
        <w:t xml:space="preserve">stressed the importance of thorough and deliberate hearings to ascertain whether vulnerable children are eligible for asylum, </w:t>
      </w:r>
      <w:r w:rsidRPr="00E53E52">
        <w:rPr>
          <w:rFonts w:ascii="Century Schoolbook" w:hAnsi="Century Schoolbook"/>
        </w:rPr>
        <w:lastRenderedPageBreak/>
        <w:t>humanitarian asylum, special immigrant juvenile status (SIJS), T visas (trafficking victims), U visas (crime victims), or protection under the Convention Against Torture (CAT)</w:t>
      </w:r>
      <w:r w:rsidR="00027B0C" w:rsidRPr="00E53E52">
        <w:rPr>
          <w:rFonts w:ascii="Century Schoolbook" w:hAnsi="Century Schoolbook"/>
        </w:rPr>
        <w:t xml:space="preserve">. </w:t>
      </w:r>
      <w:r w:rsidR="00201C07" w:rsidRPr="00E53E52">
        <w:rPr>
          <w:rFonts w:ascii="Century Schoolbook" w:hAnsi="Century Schoolbook"/>
          <w:i/>
        </w:rPr>
        <w:t>See, e</w:t>
      </w:r>
      <w:r w:rsidRPr="00E53E52">
        <w:rPr>
          <w:rFonts w:ascii="Century Schoolbook" w:hAnsi="Century Schoolbook"/>
          <w:i/>
        </w:rPr>
        <w:t>.g.,</w:t>
      </w:r>
      <w:r w:rsidRPr="00E53E52">
        <w:rPr>
          <w:rFonts w:ascii="Century Schoolbook" w:hAnsi="Century Schoolbook"/>
        </w:rPr>
        <w:t xml:space="preserve"> American Immigration Council, </w:t>
      </w:r>
      <w:r w:rsidRPr="00E53E52">
        <w:rPr>
          <w:rFonts w:ascii="Century Schoolbook" w:hAnsi="Century Schoolbook"/>
          <w:i/>
        </w:rPr>
        <w:t>Children in Danger: A Guide to the Humanitarian Challenge at the Border</w:t>
      </w:r>
      <w:r w:rsidRPr="00E53E52">
        <w:rPr>
          <w:rFonts w:ascii="Century Schoolbook" w:hAnsi="Century Schoolbook"/>
        </w:rPr>
        <w:t>, July 2014</w:t>
      </w:r>
      <w:r w:rsidR="003561B2" w:rsidRPr="00E53E52">
        <w:rPr>
          <w:rFonts w:ascii="Century Schoolbook" w:hAnsi="Century Schoolbook"/>
        </w:rPr>
        <w:t>.</w:t>
      </w:r>
    </w:p>
    <w:p w14:paraId="62A8F44A" w14:textId="5A6D4C0F" w:rsidR="00713CA6" w:rsidRPr="00E53E52" w:rsidRDefault="003E7B3C" w:rsidP="0036367F">
      <w:pPr>
        <w:pStyle w:val="BodyText"/>
        <w:widowControl/>
        <w:spacing w:after="120"/>
        <w:ind w:firstLine="720"/>
        <w:rPr>
          <w:rFonts w:ascii="Century Schoolbook" w:hAnsi="Century Schoolbook"/>
          <w:color w:val="000000" w:themeColor="text1"/>
        </w:rPr>
      </w:pPr>
      <w:r w:rsidRPr="00E53E52">
        <w:rPr>
          <w:rFonts w:ascii="Century Schoolbook" w:hAnsi="Century Schoolbook"/>
        </w:rPr>
        <w:t>The Obama Administration responded to this crisis in several ways.</w:t>
      </w:r>
      <w:r w:rsidR="00810FDA" w:rsidRPr="00E53E52">
        <w:rPr>
          <w:rFonts w:ascii="Century Schoolbook" w:hAnsi="Century Schoolbook"/>
        </w:rPr>
        <w:t xml:space="preserve"> </w:t>
      </w:r>
      <w:r w:rsidRPr="00E53E52">
        <w:rPr>
          <w:rFonts w:ascii="Century Schoolbook" w:hAnsi="Century Schoolbook"/>
        </w:rPr>
        <w:t xml:space="preserve">DHS applied the expedited removal provision, INA </w:t>
      </w:r>
      <w:r w:rsidR="008C132A" w:rsidRPr="00E53E52">
        <w:rPr>
          <w:rFonts w:ascii="Century Schoolbook" w:hAnsi="Century Schoolbook"/>
          <w:color w:val="000000" w:themeColor="text1"/>
        </w:rPr>
        <w:t>§ </w:t>
      </w:r>
      <w:r w:rsidRPr="00E53E52">
        <w:rPr>
          <w:rFonts w:ascii="Century Schoolbook" w:hAnsi="Century Schoolbook"/>
          <w:color w:val="000000" w:themeColor="text1"/>
        </w:rPr>
        <w:t>235(b), to arriving Central American children accompanied by their mothers.</w:t>
      </w:r>
      <w:r w:rsidR="00810FDA" w:rsidRPr="00E53E52">
        <w:rPr>
          <w:rFonts w:ascii="Century Schoolbook" w:hAnsi="Century Schoolbook"/>
          <w:color w:val="000000" w:themeColor="text1"/>
        </w:rPr>
        <w:t xml:space="preserve"> </w:t>
      </w:r>
      <w:r w:rsidRPr="00E53E52">
        <w:rPr>
          <w:rFonts w:ascii="Century Schoolbook" w:hAnsi="Century Schoolbook"/>
          <w:color w:val="000000" w:themeColor="text1"/>
        </w:rPr>
        <w:t>This led to the controversial detention of children and mothers, which, in turn, led to litigation and to subsequent revisions in detention policies.</w:t>
      </w:r>
      <w:r w:rsidR="00810FDA" w:rsidRPr="00E53E52">
        <w:rPr>
          <w:rFonts w:ascii="Century Schoolbook" w:hAnsi="Century Schoolbook"/>
          <w:color w:val="000000" w:themeColor="text1"/>
        </w:rPr>
        <w:t xml:space="preserve"> </w:t>
      </w:r>
      <w:r w:rsidR="00B634D9" w:rsidRPr="00E53E52">
        <w:rPr>
          <w:rFonts w:ascii="Century Schoolbook" w:hAnsi="Century Schoolbook"/>
          <w:color w:val="000000" w:themeColor="text1"/>
        </w:rPr>
        <w:t xml:space="preserve">In August 2015 a federal district court in California ruled that the detention policy violated a decades-old consent decree prohibiting DHS from detaining minors in secure, unlicensed facilities. </w:t>
      </w:r>
      <w:r w:rsidR="00B634D9" w:rsidRPr="00E53E52">
        <w:rPr>
          <w:rFonts w:ascii="Century Schoolbook" w:hAnsi="Century Schoolbook"/>
          <w:i/>
          <w:color w:val="000000" w:themeColor="text1"/>
        </w:rPr>
        <w:t>Flores v. Lynch</w:t>
      </w:r>
      <w:r w:rsidR="00B634D9" w:rsidRPr="00E53E52">
        <w:rPr>
          <w:rFonts w:ascii="Century Schoolbook" w:hAnsi="Century Schoolbook"/>
          <w:color w:val="000000" w:themeColor="text1"/>
        </w:rPr>
        <w:t>, No. CV 85-04544 DMG (C.D. Cal. 2015).</w:t>
      </w:r>
      <w:r w:rsidR="00810FDA" w:rsidRPr="00E53E52">
        <w:rPr>
          <w:rFonts w:ascii="Century Schoolbook" w:hAnsi="Century Schoolbook"/>
          <w:color w:val="000000" w:themeColor="text1"/>
        </w:rPr>
        <w:t xml:space="preserve"> </w:t>
      </w:r>
      <w:r w:rsidR="00AA1FE9" w:rsidRPr="00E53E52">
        <w:rPr>
          <w:rFonts w:ascii="Century Schoolbook" w:hAnsi="Century Schoolbook"/>
          <w:color w:val="000000" w:themeColor="text1"/>
        </w:rPr>
        <w:t>In July 2016 the Ninth Circuit affirmed the district court in part and reversed in part.</w:t>
      </w:r>
      <w:r w:rsidR="00810FDA" w:rsidRPr="00E53E52">
        <w:rPr>
          <w:rFonts w:ascii="Century Schoolbook" w:hAnsi="Century Schoolbook"/>
          <w:color w:val="000000" w:themeColor="text1"/>
        </w:rPr>
        <w:t xml:space="preserve"> </w:t>
      </w:r>
      <w:r w:rsidR="00510EFB" w:rsidRPr="00E53E52">
        <w:rPr>
          <w:rFonts w:ascii="Century Schoolbook" w:hAnsi="Century Schoolbook"/>
          <w:i/>
        </w:rPr>
        <w:t>See</w:t>
      </w:r>
      <w:r w:rsidR="00510EFB" w:rsidRPr="00E53E52">
        <w:rPr>
          <w:rFonts w:ascii="Century Schoolbook" w:hAnsi="Century Schoolbook"/>
        </w:rPr>
        <w:t> </w:t>
      </w:r>
      <w:r w:rsidR="00510EFB" w:rsidRPr="00E53E52">
        <w:rPr>
          <w:rFonts w:ascii="Century Schoolbook" w:hAnsi="Century Schoolbook"/>
          <w:i/>
        </w:rPr>
        <w:t>Flores v. Lynch</w:t>
      </w:r>
      <w:r w:rsidR="00510EFB" w:rsidRPr="00E53E52">
        <w:rPr>
          <w:rFonts w:ascii="Century Schoolbook" w:hAnsi="Century Schoolbook"/>
        </w:rPr>
        <w:t xml:space="preserve">, 828 F.3d 898 (9th Cir. 2016) (affirming the holding that the </w:t>
      </w:r>
      <w:r w:rsidR="00510EFB" w:rsidRPr="00E53E52">
        <w:rPr>
          <w:rFonts w:ascii="Century Schoolbook" w:hAnsi="Century Schoolbook"/>
          <w:i/>
        </w:rPr>
        <w:t xml:space="preserve">Flores </w:t>
      </w:r>
      <w:r w:rsidR="00510EFB" w:rsidRPr="00E53E52">
        <w:rPr>
          <w:rFonts w:ascii="Century Schoolbook" w:hAnsi="Century Schoolbook"/>
        </w:rPr>
        <w:t xml:space="preserve">settlement agreement prohibited detention of minors but reversing the conclusion that minors must be released with an accompanying parent). More recently, the Ninth Circuit rejected the government’s argument that intervening legislation deprived the minors of a bond hearing. </w:t>
      </w:r>
      <w:r w:rsidR="00510EFB" w:rsidRPr="00E53E52">
        <w:rPr>
          <w:rFonts w:ascii="Century Schoolbook" w:hAnsi="Century Schoolbook"/>
          <w:i/>
        </w:rPr>
        <w:t>Flores v. Sessions</w:t>
      </w:r>
      <w:r w:rsidR="00510EFB" w:rsidRPr="00E53E52">
        <w:rPr>
          <w:rFonts w:ascii="Century Schoolbook" w:hAnsi="Century Schoolbook"/>
        </w:rPr>
        <w:t>, 862 F.3d 863, 881 (9th Cir. 2017).</w:t>
      </w:r>
      <w:r w:rsidR="00397490" w:rsidRPr="00E53E52">
        <w:rPr>
          <w:rFonts w:ascii="Century Schoolbook" w:hAnsi="Century Schoolbook"/>
          <w:color w:val="000000"/>
        </w:rPr>
        <w:t> </w:t>
      </w:r>
    </w:p>
    <w:p w14:paraId="06B0B7CB" w14:textId="3BE36DD4" w:rsidR="00BF5C12" w:rsidRPr="00E53E52" w:rsidRDefault="003E7B3C" w:rsidP="0036367F">
      <w:pPr>
        <w:pStyle w:val="BodyText"/>
        <w:widowControl/>
        <w:spacing w:after="120"/>
        <w:ind w:firstLine="720"/>
        <w:rPr>
          <w:rFonts w:ascii="Century Schoolbook" w:hAnsi="Century Schoolbook"/>
          <w:color w:val="000000" w:themeColor="text1"/>
        </w:rPr>
      </w:pPr>
      <w:r w:rsidRPr="00E53E52">
        <w:rPr>
          <w:rFonts w:ascii="Century Schoolbook" w:hAnsi="Century Schoolbook"/>
          <w:color w:val="000000" w:themeColor="text1"/>
        </w:rPr>
        <w:t>In addition, the Administration issued an extensive package of executive reform measures in November 2014, including a re-formulation of DHS-wide enforcement priorities and expansive deferred action programs for certain immigrant children and parents in the United States.</w:t>
      </w:r>
      <w:r w:rsidR="00810FDA" w:rsidRPr="00E53E52">
        <w:rPr>
          <w:rFonts w:ascii="Century Schoolbook" w:hAnsi="Century Schoolbook"/>
          <w:color w:val="000000" w:themeColor="text1"/>
        </w:rPr>
        <w:t xml:space="preserve"> </w:t>
      </w:r>
    </w:p>
    <w:p w14:paraId="5E8DEBB3" w14:textId="1EF92952" w:rsidR="009C3935" w:rsidRPr="00E53E52" w:rsidRDefault="003A08E7" w:rsidP="0036367F">
      <w:pPr>
        <w:pStyle w:val="BodyText"/>
        <w:widowControl/>
        <w:spacing w:after="120"/>
        <w:ind w:firstLine="720"/>
        <w:rPr>
          <w:rFonts w:ascii="Century Schoolbook" w:hAnsi="Century Schoolbook"/>
          <w:color w:val="000000" w:themeColor="text1"/>
        </w:rPr>
      </w:pPr>
      <w:r w:rsidRPr="00E53E52">
        <w:rPr>
          <w:rFonts w:ascii="Century Schoolbook" w:hAnsi="Century Schoolbook"/>
          <w:color w:val="000000" w:themeColor="text1"/>
        </w:rPr>
        <w:t xml:space="preserve">The Administration also established the Central American Minor (CAM) Refugee/Parole program in El Salvador, Guatemala, and Honduras. Designed to provide a safe alternative to long, risky journeys to the United States, the CAM program allows parents who are lawfully present in the United States to petition to bring their minor children to the United States as refugees. Faye Hipsman &amp; Doris Meissner, </w:t>
      </w:r>
      <w:r w:rsidRPr="00E53E52">
        <w:rPr>
          <w:rFonts w:ascii="Century Schoolbook" w:hAnsi="Century Schoolbook"/>
          <w:i/>
          <w:color w:val="000000" w:themeColor="text1"/>
        </w:rPr>
        <w:t>In-Country Refugee Processing in Central America: A Piece of the Puzzle</w:t>
      </w:r>
      <w:r w:rsidRPr="00E53E52">
        <w:rPr>
          <w:rFonts w:ascii="Century Schoolbook" w:hAnsi="Century Schoolbook"/>
          <w:color w:val="000000" w:themeColor="text1"/>
        </w:rPr>
        <w:t xml:space="preserve">, Migration Policy Institute (August 2015). Children who have a well-founded fear of persecution and otherwise satisfy the refugee definition are eligible. Children who do not meet the statutory requirements for refugee status may be considered for humanitarian parole on a case by case basis. During the first year of the CAM program, more than 5,400 children applied. DHS interviewed 90 and approved 10 for refugee status and 75 for humanitarian parole. Michael D. Schear, </w:t>
      </w:r>
      <w:r w:rsidRPr="00E53E52">
        <w:rPr>
          <w:rFonts w:ascii="Century Schoolbook" w:hAnsi="Century Schoolbook"/>
          <w:i/>
          <w:color w:val="000000" w:themeColor="text1"/>
        </w:rPr>
        <w:t>Red Tape Slows U.S. Help for Children Fleeing Central America</w:t>
      </w:r>
      <w:r w:rsidRPr="00E53E52">
        <w:rPr>
          <w:rFonts w:ascii="Century Schoolbook" w:hAnsi="Century Schoolbook"/>
          <w:color w:val="000000" w:themeColor="text1"/>
        </w:rPr>
        <w:t>, N.Y. Times, Nov. 5, 2015.</w:t>
      </w:r>
      <w:r w:rsidR="00810FDA" w:rsidRPr="00E53E52">
        <w:rPr>
          <w:rFonts w:ascii="Century Schoolbook" w:hAnsi="Century Schoolbook"/>
          <w:color w:val="000000" w:themeColor="text1"/>
        </w:rPr>
        <w:t xml:space="preserve"> </w:t>
      </w:r>
      <w:r w:rsidR="00860342" w:rsidRPr="00E53E52">
        <w:rPr>
          <w:rFonts w:ascii="Century Schoolbook" w:hAnsi="Century Schoolbook"/>
          <w:color w:val="000000" w:themeColor="text1"/>
        </w:rPr>
        <w:t xml:space="preserve">By mid-2016, </w:t>
      </w:r>
      <w:r w:rsidR="00231616" w:rsidRPr="00E53E52">
        <w:rPr>
          <w:rFonts w:ascii="Century Schoolbook" w:hAnsi="Century Schoolbook"/>
          <w:color w:val="000000" w:themeColor="text1"/>
        </w:rPr>
        <w:t xml:space="preserve">267 children had entered the United States as refugees under the CAM </w:t>
      </w:r>
      <w:r w:rsidR="009C3935" w:rsidRPr="00E53E52">
        <w:rPr>
          <w:rFonts w:ascii="Century Schoolbook" w:hAnsi="Century Schoolbook"/>
          <w:color w:val="000000" w:themeColor="text1"/>
        </w:rPr>
        <w:t>system</w:t>
      </w:r>
      <w:r w:rsidR="001908B5" w:rsidRPr="00E53E52">
        <w:rPr>
          <w:rFonts w:ascii="Century Schoolbook" w:hAnsi="Century Schoolbook"/>
          <w:color w:val="000000" w:themeColor="text1"/>
        </w:rPr>
        <w:t>, and 2,880 more children had been approved to come to the United States.</w:t>
      </w:r>
      <w:r w:rsidR="00810FDA" w:rsidRPr="00E53E52">
        <w:rPr>
          <w:rFonts w:ascii="Century Schoolbook" w:hAnsi="Century Schoolbook"/>
          <w:color w:val="000000" w:themeColor="text1"/>
        </w:rPr>
        <w:t xml:space="preserve"> </w:t>
      </w:r>
      <w:r w:rsidR="009C3935" w:rsidRPr="00E53E52">
        <w:rPr>
          <w:rFonts w:ascii="Century Schoolbook" w:hAnsi="Century Schoolbook"/>
          <w:color w:val="000000" w:themeColor="text1"/>
        </w:rPr>
        <w:t>Julie H. Davis</w:t>
      </w:r>
      <w:r w:rsidR="009C3935" w:rsidRPr="00E53E52">
        <w:rPr>
          <w:rFonts w:ascii="Century Schoolbook" w:hAnsi="Century Schoolbook"/>
          <w:i/>
          <w:color w:val="000000" w:themeColor="text1"/>
        </w:rPr>
        <w:t>, U.S. To Admit More Central American Refugees</w:t>
      </w:r>
      <w:r w:rsidR="009C3935" w:rsidRPr="00E53E52">
        <w:rPr>
          <w:rFonts w:ascii="Century Schoolbook" w:hAnsi="Century Schoolbook"/>
          <w:color w:val="000000" w:themeColor="text1"/>
        </w:rPr>
        <w:t xml:space="preserve">, N.Y. Times, July 26, 2016. </w:t>
      </w:r>
    </w:p>
    <w:p w14:paraId="016852AC" w14:textId="77777777" w:rsidR="006C0209" w:rsidRPr="00E53E52" w:rsidRDefault="006C0209" w:rsidP="006C0209">
      <w:pPr>
        <w:spacing w:after="120"/>
        <w:ind w:firstLine="720"/>
        <w:jc w:val="both"/>
        <w:rPr>
          <w:rFonts w:ascii="Century Schoolbook" w:hAnsi="Century Schoolbook" w:cs="Times New Roman"/>
        </w:rPr>
      </w:pPr>
      <w:r w:rsidRPr="00E53E52">
        <w:rPr>
          <w:rFonts w:ascii="Century Schoolbook" w:hAnsi="Century Schoolbook" w:cs="Times New Roman"/>
        </w:rPr>
        <w:t xml:space="preserve">In July 2016 the Obama Administration announced a significant expansion in eligibility for resettlement via the CAM program. In addition to minors, children over the age of 21 were eligible, as were parents and relatives who were caretakers of children at risk of persecution. Costa Rica agreed to provide temporary shelter for the most vulnerable Central American refugees as they were processed for the CAM program. Individuals who did not </w:t>
      </w:r>
      <w:r w:rsidRPr="00E53E52">
        <w:rPr>
          <w:rFonts w:ascii="Century Schoolbook" w:hAnsi="Century Schoolbook" w:cs="Times New Roman"/>
        </w:rPr>
        <w:lastRenderedPageBreak/>
        <w:t xml:space="preserve">satisfy the statutory refugee definition could be paroled into the United States. Julie H. Davis, </w:t>
      </w:r>
      <w:r w:rsidRPr="00E53E52">
        <w:rPr>
          <w:rFonts w:ascii="Century Schoolbook" w:hAnsi="Century Schoolbook" w:cs="Times New Roman"/>
          <w:i/>
        </w:rPr>
        <w:t>U.S. To Admit More Central American Refugees</w:t>
      </w:r>
      <w:r w:rsidRPr="00E53E52">
        <w:rPr>
          <w:rFonts w:ascii="Century Schoolbook" w:hAnsi="Century Schoolbook" w:cs="Times New Roman"/>
        </w:rPr>
        <w:t xml:space="preserve">, N.Y. Times, July 26, 2016. </w:t>
      </w:r>
    </w:p>
    <w:p w14:paraId="1A38490F" w14:textId="77777777" w:rsidR="006C0209" w:rsidRPr="00E53E52" w:rsidRDefault="006C0209" w:rsidP="006C0209">
      <w:pPr>
        <w:spacing w:after="120"/>
        <w:ind w:firstLine="720"/>
        <w:jc w:val="both"/>
        <w:rPr>
          <w:rFonts w:ascii="Century Schoolbook" w:hAnsi="Century Schoolbook" w:cs="Times New Roman"/>
        </w:rPr>
      </w:pPr>
      <w:r w:rsidRPr="00E53E52">
        <w:rPr>
          <w:rFonts w:ascii="Century Schoolbook" w:hAnsi="Century Schoolbook"/>
        </w:rPr>
        <w:t xml:space="preserve">The Trump Administration suspended the CAM program in January 2017 </w:t>
      </w:r>
      <w:r w:rsidRPr="00E53E52">
        <w:rPr>
          <w:rFonts w:ascii="Century Schoolbook" w:hAnsi="Century Schoolbook" w:cs="Times New Roman"/>
        </w:rPr>
        <w:t xml:space="preserve">(see </w:t>
      </w:r>
      <w:r w:rsidRPr="00E53E52">
        <w:rPr>
          <w:rFonts w:ascii="Century Schoolbook" w:hAnsi="Century Schoolbook"/>
        </w:rPr>
        <w:t xml:space="preserve">material in this Update for casebook page </w:t>
      </w:r>
      <w:r w:rsidRPr="00E53E52">
        <w:rPr>
          <w:rFonts w:ascii="Century Schoolbook" w:hAnsi="Century Schoolbook" w:cs="Times New Roman"/>
        </w:rPr>
        <w:t xml:space="preserve">39) </w:t>
      </w:r>
      <w:r w:rsidRPr="00E53E52">
        <w:rPr>
          <w:rFonts w:ascii="Century Schoolbook" w:hAnsi="Century Schoolbook"/>
        </w:rPr>
        <w:t xml:space="preserve">and ultimately terminated it in August 2017, barring the roughly 3,000 children who had been conditionally granted parole from entering the United States. </w:t>
      </w:r>
      <w:r w:rsidRPr="00E53E52">
        <w:rPr>
          <w:rFonts w:ascii="Century Schoolbook" w:hAnsi="Century Schoolbook"/>
          <w:i/>
        </w:rPr>
        <w:t>See</w:t>
      </w:r>
      <w:r w:rsidRPr="00E53E52">
        <w:rPr>
          <w:rFonts w:ascii="Century Schoolbook" w:hAnsi="Century Schoolbook"/>
        </w:rPr>
        <w:t xml:space="preserve"> Exec. Order No. 13,769 (“Protecting the Nation from Foreign Terrorist Entry into the United States”), 82 Fed. Reg. 8,977, Sect. 5(a) (Jan. 27, 2017) (“The Secretary of State shall suspend the U.S. Refugee Admissions Program (USRAP) for 120 days.”);</w:t>
      </w:r>
      <w:r w:rsidRPr="00E53E52">
        <w:t xml:space="preserve"> </w:t>
      </w:r>
      <w:r w:rsidRPr="00E53E52">
        <w:rPr>
          <w:rFonts w:ascii="Century Schoolbook" w:hAnsi="Century Schoolbook" w:cs="Arial"/>
          <w:color w:val="000000"/>
        </w:rPr>
        <w:t xml:space="preserve">Termination of the Central American Minors Parole Program, 82 </w:t>
      </w:r>
      <w:r w:rsidRPr="00E53E52">
        <w:rPr>
          <w:rFonts w:ascii="Century Schoolbook" w:hAnsi="Century Schoolbook"/>
        </w:rPr>
        <w:t xml:space="preserve">Fed. Reg. </w:t>
      </w:r>
      <w:r w:rsidRPr="00E53E52">
        <w:rPr>
          <w:rFonts w:ascii="Century Schoolbook" w:hAnsi="Century Schoolbook" w:cs="Arial"/>
          <w:color w:val="000000"/>
        </w:rPr>
        <w:t xml:space="preserve">38,926 (Aug. 16, 2017); </w:t>
      </w:r>
      <w:r w:rsidRPr="00E53E52">
        <w:rPr>
          <w:rFonts w:ascii="Century Schoolbook" w:hAnsi="Century Schoolbook"/>
          <w:i/>
        </w:rPr>
        <w:t xml:space="preserve">see also </w:t>
      </w:r>
      <w:r w:rsidRPr="00E53E52">
        <w:rPr>
          <w:rFonts w:ascii="Century Schoolbook" w:hAnsi="Century Schoolbook"/>
        </w:rPr>
        <w:t xml:space="preserve">Tal Kopan, </w:t>
      </w:r>
      <w:r w:rsidRPr="00E53E52">
        <w:rPr>
          <w:rFonts w:ascii="Century Schoolbook" w:hAnsi="Century Schoolbook"/>
          <w:i/>
        </w:rPr>
        <w:t xml:space="preserve">DHS ends program for Central American minors, </w:t>
      </w:r>
      <w:r w:rsidRPr="00E53E52">
        <w:rPr>
          <w:rFonts w:ascii="Century Schoolbook" w:hAnsi="Century Schoolbook"/>
          <w:smallCaps/>
        </w:rPr>
        <w:t>CNN: Politics</w:t>
      </w:r>
      <w:r w:rsidRPr="00E53E52">
        <w:rPr>
          <w:rFonts w:ascii="Century Schoolbook" w:hAnsi="Century Schoolbook"/>
        </w:rPr>
        <w:t>, (Aug. 16, 2017), https://www.cnn.com/2017/08/16/politics/trump-ending-central-american-minors-program/index.html. In June 2018, the International Refugee Assistance Project filed a class-action lawsuit against the Trump Administration, alleging that the administration’s cancellation of the Program was an abuse of discretion based on discriminatory intent that violated the defendants’ due process and equal protection rights.</w:t>
      </w:r>
      <w:r w:rsidRPr="00E53E52">
        <w:rPr>
          <w:rFonts w:ascii="Century Schoolbook" w:hAnsi="Century Schoolbook"/>
          <w:i/>
        </w:rPr>
        <w:t xml:space="preserve"> S.A. v. Trump</w:t>
      </w:r>
      <w:r w:rsidRPr="00E53E52">
        <w:rPr>
          <w:rFonts w:ascii="Century Schoolbook" w:hAnsi="Century Schoolbook"/>
        </w:rPr>
        <w:t xml:space="preserve">, </w:t>
      </w:r>
      <w:r w:rsidRPr="00E53E52">
        <w:rPr>
          <w:rFonts w:ascii="Century Schoolbook" w:eastAsia="Times New Roman" w:hAnsi="Century Schoolbook" w:cs="Times New Roman"/>
        </w:rPr>
        <w:t>Case No. 18-cv-03539-LB (N.D. Ca. 2018).</w:t>
      </w:r>
    </w:p>
    <w:p w14:paraId="20B8F526" w14:textId="54B18A42" w:rsidR="00BE3695" w:rsidRPr="00E53E52" w:rsidRDefault="000778D6" w:rsidP="001D1D6E">
      <w:pPr>
        <w:spacing w:after="120"/>
        <w:ind w:firstLine="720"/>
        <w:jc w:val="both"/>
        <w:rPr>
          <w:rFonts w:ascii="Century Schoolbook" w:hAnsi="Century Schoolbook" w:cs="Times New Roman"/>
        </w:rPr>
      </w:pPr>
      <w:r w:rsidRPr="00E53E52">
        <w:rPr>
          <w:rFonts w:ascii="Century Schoolbook" w:hAnsi="Century Schoolbook"/>
          <w:color w:val="000000" w:themeColor="text1"/>
        </w:rPr>
        <w:t xml:space="preserve">Researchers predict continuing migration flows from Central America, in light of the high levels of violence, political instability, and food insecurity in El Salvador, Honduras, and Guatemala, as well as the Central American immigrant communities already established in the United States and the current immigration court backlogs. Marc R. Rosenblum &amp; Isabel Ball, </w:t>
      </w:r>
      <w:r w:rsidRPr="00E53E52">
        <w:rPr>
          <w:rFonts w:ascii="Century Schoolbook" w:hAnsi="Century Schoolbook"/>
          <w:i/>
          <w:color w:val="000000" w:themeColor="text1"/>
        </w:rPr>
        <w:t xml:space="preserve">Trends in Unaccompanied Child and Family Migration from Central America, </w:t>
      </w:r>
      <w:r w:rsidRPr="00E53E52">
        <w:rPr>
          <w:rFonts w:ascii="Century Schoolbook" w:hAnsi="Century Schoolbook"/>
          <w:color w:val="000000" w:themeColor="text1"/>
        </w:rPr>
        <w:t xml:space="preserve">Migration Policy Institute Fact Sheet (Jan. 2016); </w:t>
      </w:r>
      <w:r w:rsidRPr="00E53E52">
        <w:rPr>
          <w:rFonts w:ascii="Century Schoolbook" w:hAnsi="Century Schoolbook"/>
          <w:i/>
          <w:color w:val="000000" w:themeColor="text1"/>
        </w:rPr>
        <w:t>see also</w:t>
      </w:r>
      <w:r w:rsidRPr="00E53E52">
        <w:rPr>
          <w:rFonts w:ascii="Century Schoolbook" w:hAnsi="Century Schoolbook"/>
          <w:color w:val="000000" w:themeColor="text1"/>
        </w:rPr>
        <w:t xml:space="preserve"> Danielle Renwick, </w:t>
      </w:r>
      <w:r w:rsidRPr="00E53E52">
        <w:rPr>
          <w:rFonts w:ascii="Century Schoolbook" w:hAnsi="Century Schoolbook"/>
          <w:i/>
          <w:color w:val="000000" w:themeColor="text1"/>
        </w:rPr>
        <w:t>Central America</w:t>
      </w:r>
      <w:r w:rsidR="00C909C4" w:rsidRPr="00E53E52">
        <w:rPr>
          <w:rFonts w:ascii="Century Schoolbook" w:hAnsi="Century Schoolbook"/>
          <w:i/>
          <w:color w:val="000000" w:themeColor="text1"/>
        </w:rPr>
        <w:t>’</w:t>
      </w:r>
      <w:r w:rsidRPr="00E53E52">
        <w:rPr>
          <w:rFonts w:ascii="Century Schoolbook" w:hAnsi="Century Schoolbook"/>
          <w:i/>
          <w:color w:val="000000" w:themeColor="text1"/>
        </w:rPr>
        <w:t>s Violent Northern Triangle</w:t>
      </w:r>
      <w:r w:rsidRPr="00E53E52">
        <w:rPr>
          <w:rFonts w:ascii="Century Schoolbook" w:hAnsi="Century Schoolbook"/>
          <w:color w:val="000000" w:themeColor="text1"/>
        </w:rPr>
        <w:t xml:space="preserve">, Council of Foreign Relations (CFR) Backgrounder (Jan. 19, 2016); Muzaffar Chishti &amp; Faye Hipsman, </w:t>
      </w:r>
      <w:r w:rsidRPr="00E53E52">
        <w:rPr>
          <w:rFonts w:ascii="Century Schoolbook" w:hAnsi="Century Schoolbook"/>
          <w:i/>
          <w:color w:val="000000" w:themeColor="text1"/>
        </w:rPr>
        <w:t>Increased Central American Migration to the United States May Prove an Enduring Phenomenon</w:t>
      </w:r>
      <w:r w:rsidRPr="00E53E52">
        <w:rPr>
          <w:rFonts w:ascii="Century Schoolbook" w:hAnsi="Century Schoolbook"/>
          <w:color w:val="000000" w:themeColor="text1"/>
        </w:rPr>
        <w:t>, Migration Policy Institute (Feb. 18, 2016).</w:t>
      </w:r>
      <w:r w:rsidR="00810FDA" w:rsidRPr="00E53E52">
        <w:rPr>
          <w:rFonts w:ascii="Century Schoolbook" w:hAnsi="Century Schoolbook"/>
          <w:color w:val="000000" w:themeColor="text1"/>
        </w:rPr>
        <w:t xml:space="preserve"> </w:t>
      </w:r>
      <w:r w:rsidR="00276F3D" w:rsidRPr="00E53E52">
        <w:rPr>
          <w:rFonts w:ascii="Century Schoolbook" w:hAnsi="Century Schoolbook" w:cs="Times New Roman"/>
        </w:rPr>
        <w:t xml:space="preserve">For a catalog of recent opinions involving asylum claims filed by children and families, </w:t>
      </w:r>
      <w:r w:rsidR="00276F3D" w:rsidRPr="00E53E52">
        <w:rPr>
          <w:rFonts w:ascii="Century Schoolbook" w:hAnsi="Century Schoolbook" w:cs="Times New Roman"/>
          <w:i/>
        </w:rPr>
        <w:t xml:space="preserve">see </w:t>
      </w:r>
      <w:r w:rsidR="00276F3D" w:rsidRPr="00E53E52">
        <w:rPr>
          <w:rFonts w:ascii="Century Schoolbook" w:hAnsi="Century Schoolbook" w:cs="Times New Roman"/>
        </w:rPr>
        <w:t xml:space="preserve">Gerald Seipp, </w:t>
      </w:r>
      <w:r w:rsidR="00276F3D" w:rsidRPr="00E53E52">
        <w:rPr>
          <w:rFonts w:ascii="Century Schoolbook" w:hAnsi="Century Schoolbook" w:cs="Times New Roman"/>
          <w:i/>
        </w:rPr>
        <w:t>A Year in Review—Increasing Emphasis on Families and Children and Torture Convention Claims</w:t>
      </w:r>
      <w:r w:rsidR="00FB4D24" w:rsidRPr="00E53E52">
        <w:rPr>
          <w:rFonts w:ascii="Century Schoolbook" w:hAnsi="Century Schoolbook" w:cs="Times New Roman"/>
        </w:rPr>
        <w:t>, 93 Interp. Rel.</w:t>
      </w:r>
      <w:r w:rsidR="00276F3D" w:rsidRPr="00E53E52">
        <w:rPr>
          <w:rFonts w:ascii="Century Schoolbook" w:hAnsi="Century Schoolbook" w:cs="Times New Roman"/>
        </w:rPr>
        <w:t xml:space="preserve"> 1 (2016).</w:t>
      </w:r>
    </w:p>
    <w:p w14:paraId="431FEF5B" w14:textId="77777777" w:rsidR="00061BC6" w:rsidRPr="00E53E52" w:rsidRDefault="00061BC6" w:rsidP="00061BC6">
      <w:pPr>
        <w:spacing w:after="120"/>
        <w:ind w:firstLine="720"/>
        <w:jc w:val="both"/>
        <w:rPr>
          <w:rFonts w:ascii="Century Schoolbook" w:hAnsi="Century Schoolbook"/>
        </w:rPr>
      </w:pPr>
      <w:r w:rsidRPr="00E53E52">
        <w:rPr>
          <w:rFonts w:ascii="Century Schoolbook" w:hAnsi="Century Schoolbook"/>
        </w:rPr>
        <w:t>Migration of children and families from Central America continues to headline the Administration’s immigration agenda. Apprehensions have risen steeply, from 41,435 unaccompanied children and 75,622 families apprehended by CBP in 2017 to 63,624 Central American children and 390,308 families apprehended by CBP in the first nine months of fiscal 2019. Compare</w:t>
      </w:r>
      <w:r w:rsidRPr="00E53E52">
        <w:rPr>
          <w:rFonts w:ascii="Century Schoolbook" w:hAnsi="Century Schoolbook"/>
          <w:i/>
        </w:rPr>
        <w:t xml:space="preserve"> </w:t>
      </w:r>
      <w:hyperlink r:id="rId47" w:history="1">
        <w:r w:rsidRPr="00E53E52">
          <w:rPr>
            <w:rStyle w:val="Hyperlink"/>
            <w:rFonts w:eastAsiaTheme="minorHAnsi" w:cstheme="minorBidi"/>
            <w:sz w:val="22"/>
            <w:szCs w:val="22"/>
          </w:rPr>
          <w:t>Southwest Border Migration, U.S. Customs and Border Protection</w:t>
        </w:r>
      </w:hyperlink>
      <w:r w:rsidRPr="00E53E52">
        <w:rPr>
          <w:rFonts w:ascii="Century Schoolbook" w:hAnsi="Century Schoolbook"/>
        </w:rPr>
        <w:t xml:space="preserve">, (Jul. 3, 2017) </w:t>
      </w:r>
      <w:r w:rsidRPr="00E53E52">
        <w:rPr>
          <w:rFonts w:ascii="Century Schoolbook" w:hAnsi="Century Schoolbook"/>
          <w:i/>
        </w:rPr>
        <w:t>with</w:t>
      </w:r>
      <w:r w:rsidRPr="00E53E52">
        <w:rPr>
          <w:rFonts w:ascii="Century Schoolbook" w:hAnsi="Century Schoolbook"/>
        </w:rPr>
        <w:t xml:space="preserve"> </w:t>
      </w:r>
      <w:hyperlink r:id="rId48" w:history="1">
        <w:r w:rsidRPr="00E53E52">
          <w:rPr>
            <w:rStyle w:val="Hyperlink"/>
            <w:rFonts w:eastAsiaTheme="minorHAnsi" w:cstheme="minorBidi"/>
            <w:sz w:val="22"/>
            <w:szCs w:val="22"/>
          </w:rPr>
          <w:t>Southwest Border Migration, U.S. Customs and Border Protection</w:t>
        </w:r>
      </w:hyperlink>
      <w:r w:rsidRPr="00E53E52">
        <w:rPr>
          <w:rFonts w:ascii="Century Schoolbook" w:hAnsi="Century Schoolbook"/>
        </w:rPr>
        <w:t>, (Jul. 10, 2019).</w:t>
      </w:r>
    </w:p>
    <w:p w14:paraId="44B23F80" w14:textId="2A6937F8" w:rsidR="00061BC6" w:rsidRPr="00E53E52" w:rsidRDefault="00061BC6" w:rsidP="00061BC6">
      <w:pPr>
        <w:pStyle w:val="BodyText"/>
        <w:widowControl/>
        <w:ind w:firstLine="720"/>
        <w:rPr>
          <w:rFonts w:ascii="Century Schoolbook" w:hAnsi="Century Schoolbook"/>
        </w:rPr>
      </w:pPr>
      <w:r w:rsidRPr="00E53E52">
        <w:rPr>
          <w:rFonts w:ascii="Century Schoolbook" w:hAnsi="Century Schoolbook"/>
        </w:rPr>
        <w:t xml:space="preserve">In May 2018, the Trump administration took a new approach to border control that led to both higher detention levels of adults, including families, and the separation of thousands of mostly Central American children from their parents. The administration adopted a “zero tolerance” policy of criminal prosecution for unlawful entry of all adults who entered without inspection through the southwestern border. The administration classified any child as an “unaccompanied minor” who crossed the border with an adult who was </w:t>
      </w:r>
      <w:r w:rsidRPr="00E53E52">
        <w:rPr>
          <w:rFonts w:ascii="Century Schoolbook" w:hAnsi="Century Schoolbook"/>
        </w:rPr>
        <w:lastRenderedPageBreak/>
        <w:t xml:space="preserve">subsequently placed in immigration or criminal custody. The agency justified this decision on the basis that the parent or guardian was no longer “available to provide care and physical custody” while in custody, per the Trafficking Victims Protection Reauthorization Act. CBP separated the children from the parent or other accompanying adult, and placed them in the custody of the Office of Refugee Resettlement. </w:t>
      </w:r>
      <w:r w:rsidRPr="00E53E52">
        <w:rPr>
          <w:rFonts w:ascii="Century Schoolbook" w:hAnsi="Century Schoolbook"/>
          <w:i/>
        </w:rPr>
        <w:t xml:space="preserve">See </w:t>
      </w:r>
      <w:r w:rsidRPr="00E53E52">
        <w:rPr>
          <w:rFonts w:ascii="Century Schoolbook" w:hAnsi="Century Schoolbook"/>
        </w:rPr>
        <w:t xml:space="preserve">U.S. Att’y Gen., </w:t>
      </w:r>
      <w:hyperlink r:id="rId49" w:history="1">
        <w:r w:rsidRPr="00E53E52">
          <w:rPr>
            <w:rFonts w:ascii="Century Schoolbook" w:hAnsi="Century Schoolbook"/>
          </w:rPr>
          <w:t>Attorney General Sessions Delivers Remarks</w:t>
        </w:r>
      </w:hyperlink>
      <w:r w:rsidRPr="00E53E52">
        <w:rPr>
          <w:rFonts w:ascii="Century Schoolbook" w:hAnsi="Century Schoolbook"/>
        </w:rPr>
        <w:t xml:space="preserve"> Regarding the Immigration Enforcement Actions of the Trump Administration (May 7, 2018); </w:t>
      </w:r>
      <w:r w:rsidRPr="00E53E52">
        <w:rPr>
          <w:rFonts w:ascii="Century Schoolbook" w:hAnsi="Century Schoolbook"/>
          <w:i/>
        </w:rPr>
        <w:t>Ms. L. v. U.S. Immigr. &amp; Customs Enforcement</w:t>
      </w:r>
      <w:r w:rsidRPr="00E53E52">
        <w:rPr>
          <w:rFonts w:ascii="Century Schoolbook" w:hAnsi="Century Schoolbook"/>
        </w:rPr>
        <w:t>, 310 F. Supp. 3d 1133 (S.D. Cal. 2018).</w:t>
      </w:r>
      <w:r w:rsidRPr="00E53E52">
        <w:rPr>
          <w:rFonts w:ascii="Century Schoolbook" w:hAnsi="Century Schoolbook"/>
          <w:i/>
        </w:rPr>
        <w:t xml:space="preserve"> </w:t>
      </w:r>
      <w:r w:rsidR="002851CF" w:rsidRPr="00E53E52">
        <w:rPr>
          <w:rFonts w:ascii="Century Schoolbook" w:hAnsi="Century Schoolbook"/>
        </w:rPr>
        <w:t xml:space="preserve">Also relevant here is the Attorney General’s decision in </w:t>
      </w:r>
      <w:r w:rsidR="002851CF" w:rsidRPr="00E53E52">
        <w:rPr>
          <w:rFonts w:ascii="Century Schoolbook" w:hAnsi="Century Schoolbook"/>
          <w:i/>
          <w:iCs/>
        </w:rPr>
        <w:t>Matter of M-S-</w:t>
      </w:r>
      <w:r w:rsidR="002851CF" w:rsidRPr="00E53E52">
        <w:rPr>
          <w:rFonts w:ascii="Century Schoolbook" w:hAnsi="Century Schoolbook"/>
        </w:rPr>
        <w:t xml:space="preserve">, </w:t>
      </w:r>
      <w:r w:rsidR="002851CF" w:rsidRPr="00E53E52">
        <w:rPr>
          <w:rFonts w:ascii="Century Schoolbook" w:hAnsi="Century Schoolbook"/>
          <w:color w:val="000000" w:themeColor="text1"/>
        </w:rPr>
        <w:t xml:space="preserve">27 I &amp; N Dec. 509 (AG 2019), </w:t>
      </w:r>
      <w:r w:rsidR="002851CF" w:rsidRPr="00E53E52">
        <w:rPr>
          <w:rFonts w:ascii="Century Schoolbook" w:hAnsi="Century Schoolbook"/>
        </w:rPr>
        <w:t>on the detention for asylum seekers who have passed credible fear interviews and subsequent litigation that has blocked its implementation as of early August 2019.</w:t>
      </w:r>
    </w:p>
    <w:p w14:paraId="0AA25CDD" w14:textId="77777777" w:rsidR="00061BC6" w:rsidRPr="00E53E52" w:rsidRDefault="00061BC6" w:rsidP="00061BC6">
      <w:pPr>
        <w:pStyle w:val="BodyText"/>
        <w:widowControl/>
        <w:ind w:firstLine="720"/>
        <w:rPr>
          <w:rFonts w:ascii="Century Schoolbook" w:hAnsi="Century Schoolbook"/>
          <w:i/>
        </w:rPr>
      </w:pPr>
      <w:r w:rsidRPr="00E53E52">
        <w:rPr>
          <w:rFonts w:ascii="Century Schoolbook" w:hAnsi="Century Schoolbook"/>
        </w:rPr>
        <w:t xml:space="preserve">The Trump administration’s “zero tolerance” policy led to the Office of Refugee Resettlement taking custody of thousands of minors who immigration authorities had separated from their parents or guardians. In June 2018, the Office of Refugee Resettlement (ORR) of the Department of Health and Human Services (HHS), which took custody of the majority of the separated children, identified 2,737 children in its care who had been separated from their parents. </w:t>
      </w:r>
      <w:r w:rsidRPr="00E53E52">
        <w:rPr>
          <w:rFonts w:ascii="Century Schoolbook" w:hAnsi="Century Schoolbook"/>
          <w:i/>
        </w:rPr>
        <w:t>Separated Children Placed in Office of Refugee Resettlement Care,</w:t>
      </w:r>
      <w:r w:rsidRPr="00E53E52">
        <w:rPr>
          <w:rFonts w:ascii="Century Schoolbook" w:hAnsi="Century Schoolbook"/>
        </w:rPr>
        <w:t xml:space="preserve"> HHS Office of Inspector General</w:t>
      </w:r>
      <w:r w:rsidRPr="00E53E52">
        <w:rPr>
          <w:rFonts w:ascii="Century Schoolbook" w:hAnsi="Century Schoolbook"/>
          <w:i/>
        </w:rPr>
        <w:t xml:space="preserve"> </w:t>
      </w:r>
      <w:r w:rsidRPr="00E53E52">
        <w:rPr>
          <w:rFonts w:ascii="Century Schoolbook" w:hAnsi="Century Schoolbook"/>
        </w:rPr>
        <w:t>(Jan. 17, 2019).</w:t>
      </w:r>
    </w:p>
    <w:p w14:paraId="0A0895D7" w14:textId="77777777" w:rsidR="00061BC6" w:rsidRPr="00E53E52" w:rsidRDefault="00061BC6" w:rsidP="00061BC6">
      <w:pPr>
        <w:pStyle w:val="BodyText"/>
        <w:widowControl/>
        <w:ind w:firstLine="720"/>
        <w:rPr>
          <w:rFonts w:ascii="Century Schoolbook" w:hAnsi="Century Schoolbook"/>
        </w:rPr>
      </w:pPr>
      <w:r w:rsidRPr="00E53E52">
        <w:rPr>
          <w:rFonts w:ascii="Century Schoolbook" w:hAnsi="Century Schoolbook"/>
        </w:rPr>
        <w:t xml:space="preserve">On June 20, 2018, the Administration modified the “zero tolerance” policy in favor of “maintaining family unity.” </w:t>
      </w:r>
      <w:r w:rsidRPr="00E53E52">
        <w:rPr>
          <w:rFonts w:ascii="Century Schoolbook" w:hAnsi="Century Schoolbook"/>
          <w:i/>
        </w:rPr>
        <w:t>See</w:t>
      </w:r>
      <w:r w:rsidRPr="00E53E52">
        <w:rPr>
          <w:rFonts w:ascii="Century Schoolbook" w:hAnsi="Century Schoolbook"/>
        </w:rPr>
        <w:t xml:space="preserve"> Executive Order 13,841 of June 20, 2018, Affording Congress an Opportunity to Address Family Separation, 83 Fed. Reg. 29435 </w:t>
      </w:r>
      <w:r w:rsidRPr="00E53E52">
        <w:rPr>
          <w:rFonts w:ascii="Century Schoolbook" w:hAnsi="Century Schoolbook"/>
          <w:color w:val="000000"/>
        </w:rPr>
        <w:t>§ 1, July 30, 2018.</w:t>
      </w:r>
      <w:r w:rsidRPr="00E53E52">
        <w:rPr>
          <w:rFonts w:ascii="Century Schoolbook" w:hAnsi="Century Schoolbook"/>
        </w:rPr>
        <w:t xml:space="preserve"> The Order mandated that while adults who illegally crossed the border with minors would still be prosecuted, they would not be separated. Instead, families would be detained together “during the pendency of any criminal improper entry or immigration proceedings” to the extent permitted by law and “available resources.” </w:t>
      </w:r>
      <w:r w:rsidRPr="00E53E52">
        <w:rPr>
          <w:rFonts w:ascii="Century Schoolbook" w:hAnsi="Century Schoolbook"/>
          <w:i/>
        </w:rPr>
        <w:t xml:space="preserve">Id. </w:t>
      </w:r>
      <w:r w:rsidRPr="00E53E52">
        <w:rPr>
          <w:rFonts w:ascii="Century Schoolbook" w:hAnsi="Century Schoolbook"/>
          <w:color w:val="000000"/>
        </w:rPr>
        <w:t xml:space="preserve">§ 3. </w:t>
      </w:r>
      <w:r w:rsidRPr="00E53E52">
        <w:rPr>
          <w:rFonts w:ascii="Century Schoolbook" w:hAnsi="Century Schoolbook"/>
        </w:rPr>
        <w:t xml:space="preserve">On June 26, 2018, a class of parents separated from their children obtained a preliminary injunction against the Trump administration’s family separation policy. The court ordered the reunification of children with their families within 30 days, prohibited the deportation of parents without their children, and barred the future separation of children from their parents unless it was in the child’s best interest. </w:t>
      </w:r>
      <w:r w:rsidRPr="00E53E52">
        <w:rPr>
          <w:rFonts w:ascii="Century Schoolbook" w:hAnsi="Century Schoolbook"/>
          <w:i/>
        </w:rPr>
        <w:t xml:space="preserve">Ms. L., </w:t>
      </w:r>
      <w:r w:rsidRPr="00E53E52">
        <w:rPr>
          <w:rFonts w:ascii="Century Schoolbook" w:hAnsi="Century Schoolbook"/>
        </w:rPr>
        <w:t>310 F. Supp. at 1149.</w:t>
      </w:r>
    </w:p>
    <w:p w14:paraId="40199EE1" w14:textId="77777777" w:rsidR="00061BC6" w:rsidRPr="00E53E52" w:rsidRDefault="00061BC6" w:rsidP="00061BC6">
      <w:pPr>
        <w:spacing w:after="120"/>
        <w:ind w:firstLine="720"/>
        <w:jc w:val="both"/>
        <w:rPr>
          <w:rFonts w:ascii="Century Schoolbook" w:hAnsi="Century Schoolbook"/>
        </w:rPr>
      </w:pPr>
      <w:r w:rsidRPr="00E53E52">
        <w:rPr>
          <w:rFonts w:ascii="Century Schoolbook" w:hAnsi="Century Schoolbook"/>
        </w:rPr>
        <w:t>In September 2018, the government reported that it had identified 2,654 children of parents who had been taken into federal immigration agency custody. Of those children, 103 fell into the newborn to 4 year old age range, and 2,551 were ages 5 to 17.</w:t>
      </w:r>
      <w:hyperlink r:id="rId50" w:anchor="fnref60" w:tooltip="Children were grouped into two groups by age (0-4 years old and 5-17 years old), because the June 2018 court order required HHS to reunify children ages 0-4 years old before reunifying children ages 5-17 years old." w:history="1">
        <w:r w:rsidRPr="00E53E52">
          <w:rPr>
            <w:rStyle w:val="Hyperlink"/>
            <w:rFonts w:eastAsiaTheme="minorHAnsi" w:cstheme="minorBidi"/>
            <w:sz w:val="22"/>
            <w:szCs w:val="22"/>
          </w:rPr>
          <w:t xml:space="preserve"> </w:t>
        </w:r>
      </w:hyperlink>
      <w:r w:rsidRPr="00E53E52">
        <w:rPr>
          <w:rFonts w:ascii="Century Schoolbook" w:hAnsi="Century Schoolbook"/>
        </w:rPr>
        <w:t xml:space="preserve">This number did not include children who were separated from parents but released to sponsors prior to the June 2018 court order in </w:t>
      </w:r>
      <w:r w:rsidRPr="00E53E52">
        <w:rPr>
          <w:rFonts w:ascii="Century Schoolbook" w:hAnsi="Century Schoolbook"/>
          <w:i/>
        </w:rPr>
        <w:t>Ms. L v. ICE</w:t>
      </w:r>
      <w:r w:rsidRPr="00E53E52">
        <w:rPr>
          <w:rFonts w:ascii="Century Schoolbook" w:hAnsi="Century Schoolbook"/>
        </w:rPr>
        <w:t xml:space="preserve">, or the more than 500 children that CBP reunified with parents in late June 2018. ORR reported that by September 10, 2018, it had released 2,217 of the 2,654 children it had identified as separated from parents. ORR reunited about 90 percent of the released children with the parent from whom they were separated, with the rest released under other circumstances, such as to another suitable sponsor. Government </w:t>
      </w:r>
      <w:r w:rsidRPr="00E53E52">
        <w:rPr>
          <w:rFonts w:ascii="Century Schoolbook" w:hAnsi="Century Schoolbook"/>
        </w:rPr>
        <w:lastRenderedPageBreak/>
        <w:t xml:space="preserve">Accountability Office, </w:t>
      </w:r>
      <w:r w:rsidRPr="00E53E52">
        <w:rPr>
          <w:rFonts w:ascii="Century Schoolbook" w:hAnsi="Century Schoolbook"/>
          <w:bCs/>
          <w:i/>
        </w:rPr>
        <w:t>Unaccompanied Children: Agency Efforts to Reunify Children Separated from Parents at the Border</w:t>
      </w:r>
      <w:r w:rsidRPr="00E53E52">
        <w:rPr>
          <w:rFonts w:ascii="Century Schoolbook" w:hAnsi="Century Schoolbook"/>
          <w:bCs/>
        </w:rPr>
        <w:t xml:space="preserve">, </w:t>
      </w:r>
      <w:r w:rsidRPr="00E53E52">
        <w:rPr>
          <w:rFonts w:ascii="Century Schoolbook" w:hAnsi="Century Schoolbook"/>
        </w:rPr>
        <w:t>GAO-19-163, at 25 (Oct. 09, 2018).</w:t>
      </w:r>
    </w:p>
    <w:p w14:paraId="25C21A76" w14:textId="77777777" w:rsidR="00061BC6" w:rsidRPr="00E53E52" w:rsidRDefault="00061BC6" w:rsidP="00061BC6">
      <w:pPr>
        <w:spacing w:after="120"/>
        <w:ind w:firstLine="720"/>
        <w:jc w:val="both"/>
        <w:rPr>
          <w:rFonts w:ascii="Century Schoolbook" w:hAnsi="Century Schoolbook"/>
          <w:bCs/>
          <w:i/>
        </w:rPr>
      </w:pPr>
      <w:r w:rsidRPr="00E53E52">
        <w:rPr>
          <w:rFonts w:ascii="Century Schoolbook" w:hAnsi="Century Schoolbook"/>
        </w:rPr>
        <w:t xml:space="preserve">The criteria for reunification of families became the subject of a class action alleging that ORR, the agency responsible for housing unaccompanied minors, was unlawfully sharing information about the children’s sponsors in order to facilitate immigration enforcement efforts. </w:t>
      </w:r>
      <w:r w:rsidRPr="00E53E52">
        <w:rPr>
          <w:rFonts w:ascii="Century Schoolbook" w:hAnsi="Century Schoolbook"/>
          <w:i/>
        </w:rPr>
        <w:t xml:space="preserve">See </w:t>
      </w:r>
      <w:r w:rsidRPr="00E53E52">
        <w:rPr>
          <w:rFonts w:ascii="Century Schoolbook" w:hAnsi="Century Schoolbook"/>
          <w:bCs/>
          <w:i/>
          <w:iCs/>
        </w:rPr>
        <w:t>J.E.C.M. v. Lloyd</w:t>
      </w:r>
      <w:r w:rsidRPr="00E53E52">
        <w:rPr>
          <w:rFonts w:ascii="Century Schoolbook" w:hAnsi="Century Schoolbook"/>
          <w:bCs/>
        </w:rPr>
        <w:t xml:space="preserve">, 2018 WL 6004672 (E.D. Va. Nov. 15, 2018). The allegations centered on an agreement between ORR, ICE, and CBP to share information regarding unaccompanied minors, including the vetting of “potential sponsors and adult members of potential sponsors’ households.” </w:t>
      </w:r>
      <w:r w:rsidRPr="00E53E52">
        <w:rPr>
          <w:rFonts w:ascii="Century Schoolbook" w:hAnsi="Century Schoolbook"/>
          <w:bCs/>
          <w:i/>
        </w:rPr>
        <w:t xml:space="preserve">Id. </w:t>
      </w:r>
      <w:r w:rsidRPr="00E53E52">
        <w:rPr>
          <w:rFonts w:ascii="Century Schoolbook" w:hAnsi="Century Schoolbook"/>
          <w:bCs/>
        </w:rPr>
        <w:t xml:space="preserve">It challenged under the Administrative Procedures Act </w:t>
      </w:r>
      <w:r w:rsidRPr="00E53E52">
        <w:rPr>
          <w:rFonts w:ascii="Century Schoolbook" w:hAnsi="Century Schoolbook"/>
        </w:rPr>
        <w:t xml:space="preserve">ORR’s alleged policy of denying release where an immigrant child’s sponsor lived with other adults who were unwilling to provide their fingerprints and biographic information. </w:t>
      </w:r>
      <w:r w:rsidRPr="00E53E52">
        <w:rPr>
          <w:rFonts w:ascii="Century Schoolbook" w:hAnsi="Century Schoolbook"/>
          <w:bCs/>
        </w:rPr>
        <w:t>The complaint survived a motion to dismiss. The court concluded that, once assumed true, plaintiffs’ allegations plausibly indicated that the information-sharing policy put children at greater risk.</w:t>
      </w:r>
      <w:r w:rsidRPr="00E53E52">
        <w:rPr>
          <w:rFonts w:ascii="Century Schoolbook" w:hAnsi="Century Schoolbook" w:hint="eastAsia"/>
          <w:bCs/>
        </w:rPr>
        <w:t>“</w:t>
      </w:r>
      <w:r w:rsidRPr="00E53E52">
        <w:rPr>
          <w:rFonts w:ascii="Century Schoolbook" w:hAnsi="Century Schoolbook"/>
          <w:bCs/>
        </w:rPr>
        <w:t xml:space="preserve">A policy that systematically elevates immigration enforcement over child welfare, one whose effects are to destabilize would-be sponsors’ home environments and to discourage potential sponsors from applying for reunification, is flatly inconsistent with ORR’s statutory responsibility to care for unaccompanied minors in its custody and release them promptly to safe and stable environments. Plaintiffs also state a plausible claim that the policy violates ORR’s ongoing legal obligation under the </w:t>
      </w:r>
      <w:r w:rsidRPr="00E53E52">
        <w:rPr>
          <w:rFonts w:ascii="Century Schoolbook" w:hAnsi="Century Schoolbook"/>
          <w:bCs/>
          <w:i/>
          <w:iCs/>
        </w:rPr>
        <w:t>Flores</w:t>
      </w:r>
      <w:r w:rsidRPr="00E53E52">
        <w:rPr>
          <w:rFonts w:ascii="Century Schoolbook" w:hAnsi="Century Schoolbook"/>
          <w:bCs/>
        </w:rPr>
        <w:t xml:space="preserve"> Agreement to release minors “without unnecessary delay.” </w:t>
      </w:r>
      <w:r w:rsidRPr="00E53E52">
        <w:rPr>
          <w:rFonts w:ascii="Century Schoolbook" w:hAnsi="Century Schoolbook"/>
          <w:bCs/>
          <w:i/>
        </w:rPr>
        <w:t>Id.</w:t>
      </w:r>
    </w:p>
    <w:p w14:paraId="227DEF2B" w14:textId="77777777" w:rsidR="00061BC6" w:rsidRPr="00E53E52" w:rsidRDefault="00061BC6" w:rsidP="00061BC6">
      <w:pPr>
        <w:spacing w:after="120"/>
        <w:ind w:firstLine="720"/>
        <w:jc w:val="both"/>
        <w:rPr>
          <w:rFonts w:ascii="Century Schoolbook" w:hAnsi="Century Schoolbook"/>
        </w:rPr>
      </w:pPr>
      <w:r w:rsidRPr="00E53E52">
        <w:rPr>
          <w:rFonts w:ascii="Century Schoolbook" w:hAnsi="Century Schoolbook"/>
          <w:i/>
        </w:rPr>
        <w:t xml:space="preserve">Litigation over government confinement of children and conditions of custody. </w:t>
      </w:r>
      <w:r w:rsidRPr="00E53E52">
        <w:rPr>
          <w:rFonts w:ascii="Century Schoolbook" w:hAnsi="Century Schoolbook"/>
        </w:rPr>
        <w:t xml:space="preserve">Family separation brought to the forefront the related issue of the length and conditions of mass government custody of children, addressed largely through the </w:t>
      </w:r>
      <w:r w:rsidRPr="00E53E52">
        <w:rPr>
          <w:rFonts w:ascii="Century Schoolbook" w:hAnsi="Century Schoolbook"/>
          <w:i/>
        </w:rPr>
        <w:t>Flores</w:t>
      </w:r>
      <w:r w:rsidRPr="00E53E52">
        <w:rPr>
          <w:rFonts w:ascii="Century Schoolbook" w:hAnsi="Century Schoolbook"/>
        </w:rPr>
        <w:t xml:space="preserve"> litigation. In August 2018, as allegations of abuse and overmedication of detained children arose, the district court in </w:t>
      </w:r>
      <w:r w:rsidRPr="00E53E52">
        <w:rPr>
          <w:rFonts w:ascii="Century Schoolbook" w:hAnsi="Century Schoolbook"/>
          <w:i/>
        </w:rPr>
        <w:t xml:space="preserve">Flores </w:t>
      </w:r>
      <w:r w:rsidRPr="00E53E52">
        <w:rPr>
          <w:rFonts w:ascii="Century Schoolbook" w:hAnsi="Century Schoolbook"/>
        </w:rPr>
        <w:t xml:space="preserve">found that conditions at the Shiloh Residential Treatment Center in Texas violated the </w:t>
      </w:r>
      <w:r w:rsidRPr="00E53E52">
        <w:rPr>
          <w:rFonts w:ascii="Century Schoolbook" w:hAnsi="Century Schoolbook"/>
          <w:i/>
        </w:rPr>
        <w:t xml:space="preserve">Flores </w:t>
      </w:r>
      <w:r w:rsidRPr="00E53E52">
        <w:rPr>
          <w:rFonts w:ascii="Century Schoolbook" w:hAnsi="Century Schoolbook"/>
        </w:rPr>
        <w:t xml:space="preserve">settlement and ordered the government to transfer all minors out of the detention facility unless a licensed psychiatrist or psychologist had made an individual determination that the placement was appropriate. The court also ordered the government, absent an emergency, to obtain parental consent or a court order before giving children psychotropic drugs, to provide written notice to the children of the reason they were being detained, and to refrain from detaining a minor solely for “reported gang involvement.” </w:t>
      </w:r>
      <w:r w:rsidRPr="00E53E52">
        <w:rPr>
          <w:rFonts w:ascii="Century Schoolbook" w:hAnsi="Century Schoolbook"/>
          <w:i/>
        </w:rPr>
        <w:t>Flores v. Sessions</w:t>
      </w:r>
      <w:r w:rsidRPr="00E53E52">
        <w:rPr>
          <w:rFonts w:ascii="Century Schoolbook" w:hAnsi="Century Schoolbook"/>
        </w:rPr>
        <w:t xml:space="preserve">, </w:t>
      </w:r>
      <w:r w:rsidRPr="00E53E52">
        <w:rPr>
          <w:rFonts w:ascii="Century Schoolbook" w:hAnsi="Century Schoolbook"/>
          <w:bCs/>
        </w:rPr>
        <w:t>CV 85-4544-DMG (AGRx) (July 30, 2018)</w:t>
      </w:r>
    </w:p>
    <w:p w14:paraId="544D1757" w14:textId="77777777" w:rsidR="00061BC6" w:rsidRPr="00E53E52" w:rsidRDefault="00061BC6" w:rsidP="00061BC6">
      <w:pPr>
        <w:spacing w:after="120"/>
        <w:ind w:firstLine="720"/>
        <w:jc w:val="both"/>
        <w:rPr>
          <w:rFonts w:ascii="Century Schoolbook" w:hAnsi="Century Schoolbook"/>
          <w:bCs/>
        </w:rPr>
      </w:pPr>
      <w:r w:rsidRPr="00E53E52">
        <w:rPr>
          <w:rFonts w:ascii="Century Schoolbook" w:hAnsi="Century Schoolbook"/>
          <w:bCs/>
        </w:rPr>
        <w:t xml:space="preserve">In September 2018, the government proposed a regulation that would terminate the </w:t>
      </w:r>
      <w:r w:rsidRPr="00E53E52">
        <w:rPr>
          <w:rFonts w:ascii="Century Schoolbook" w:hAnsi="Century Schoolbook"/>
          <w:bCs/>
          <w:i/>
        </w:rPr>
        <w:t xml:space="preserve">Flores </w:t>
      </w:r>
      <w:r w:rsidRPr="00E53E52">
        <w:rPr>
          <w:rFonts w:ascii="Century Schoolbook" w:hAnsi="Century Schoolbook"/>
          <w:bCs/>
        </w:rPr>
        <w:t xml:space="preserve">settlement agreement. The summary of the proposed regulation indicated it would largely implement the provisions of the </w:t>
      </w:r>
      <w:r w:rsidRPr="00E53E52">
        <w:rPr>
          <w:rFonts w:ascii="Century Schoolbook" w:hAnsi="Century Schoolbook"/>
          <w:bCs/>
          <w:i/>
        </w:rPr>
        <w:t xml:space="preserve">Flores </w:t>
      </w:r>
      <w:r w:rsidRPr="00E53E52">
        <w:rPr>
          <w:rFonts w:ascii="Century Schoolbook" w:hAnsi="Century Schoolbook"/>
          <w:bCs/>
        </w:rPr>
        <w:t xml:space="preserve">agreement, while removing the agreement’s requirement that facilities holding children comply with state child care licensing standards. </w:t>
      </w:r>
      <w:r w:rsidRPr="00E53E52">
        <w:rPr>
          <w:rFonts w:ascii="Century Schoolbook" w:hAnsi="Century Schoolbook"/>
          <w:bCs/>
          <w:i/>
        </w:rPr>
        <w:t>Apprehension, Processing, Care, and Custody of Alien Minors and Unaccompanied Alien Children</w:t>
      </w:r>
      <w:r w:rsidRPr="00E53E52">
        <w:rPr>
          <w:rFonts w:ascii="Century Schoolbook" w:hAnsi="Century Schoolbook"/>
          <w:bCs/>
        </w:rPr>
        <w:t>, 83 Fed. Reg. 45486 (Sept. 7, 2018).</w:t>
      </w:r>
    </w:p>
    <w:p w14:paraId="2C8552D4" w14:textId="77777777" w:rsidR="00061BC6" w:rsidRPr="00E53E52" w:rsidRDefault="00061BC6" w:rsidP="00061BC6">
      <w:pPr>
        <w:spacing w:after="120"/>
        <w:ind w:firstLine="720"/>
        <w:jc w:val="both"/>
        <w:rPr>
          <w:rFonts w:ascii="Century Schoolbook" w:hAnsi="Century Schoolbook"/>
          <w:b/>
        </w:rPr>
      </w:pPr>
      <w:r w:rsidRPr="00E53E52">
        <w:rPr>
          <w:rFonts w:ascii="Century Schoolbook" w:hAnsi="Century Schoolbook"/>
        </w:rPr>
        <w:t xml:space="preserve">In November 2018, responding to allegations of overcrowded and unsanitary conditions for children in CBP detention facilities and Office of Refugee Resettlement facilities, the court in </w:t>
      </w:r>
      <w:r w:rsidRPr="00E53E52">
        <w:rPr>
          <w:rFonts w:ascii="Century Schoolbook" w:hAnsi="Century Schoolbook"/>
          <w:i/>
        </w:rPr>
        <w:t xml:space="preserve">Flores </w:t>
      </w:r>
      <w:r w:rsidRPr="00E53E52">
        <w:rPr>
          <w:rFonts w:ascii="Century Schoolbook" w:hAnsi="Century Schoolbook"/>
        </w:rPr>
        <w:t xml:space="preserve">tasked a special monitor with ascertaining compliance with prior </w:t>
      </w:r>
      <w:r w:rsidRPr="00E53E52">
        <w:rPr>
          <w:rFonts w:ascii="Century Schoolbook" w:hAnsi="Century Schoolbook"/>
        </w:rPr>
        <w:lastRenderedPageBreak/>
        <w:t xml:space="preserve">court orders from 2015 and 2017 finding multiple breaches of the Flores agreement in facilities at the border. </w:t>
      </w:r>
      <w:r w:rsidRPr="00E53E52">
        <w:rPr>
          <w:rFonts w:ascii="Century Schoolbook" w:hAnsi="Century Schoolbook"/>
          <w:i/>
        </w:rPr>
        <w:t xml:space="preserve">See </w:t>
      </w:r>
      <w:r w:rsidRPr="00E53E52">
        <w:rPr>
          <w:rFonts w:ascii="Century Schoolbook" w:hAnsi="Century Schoolbook"/>
          <w:i/>
          <w:iCs/>
        </w:rPr>
        <w:t xml:space="preserve">Flores v. Barr, </w:t>
      </w:r>
      <w:r w:rsidRPr="00E53E52">
        <w:rPr>
          <w:rFonts w:ascii="Century Schoolbook" w:hAnsi="Century Schoolbook"/>
          <w:iCs/>
        </w:rPr>
        <w:t>Case No. CV 85-4544-DMG, 2019 WL 2723798 (AGRx) (June 28, 2019) (citing court orders finding “</w:t>
      </w:r>
      <w:r w:rsidRPr="00E53E52">
        <w:rPr>
          <w:rFonts w:ascii="Century Schoolbook" w:hAnsi="Century Schoolbook"/>
        </w:rPr>
        <w:t xml:space="preserve">widespread and deplorable conditions in holding cells of CPB stations” and “unsanitary conditions at certain CBP facilities in the Rio Grande Valley Sector”); </w:t>
      </w:r>
      <w:r w:rsidRPr="00E53E52">
        <w:rPr>
          <w:rFonts w:ascii="Century Schoolbook" w:hAnsi="Century Schoolbook"/>
          <w:i/>
        </w:rPr>
        <w:t>Flores v. Sessions</w:t>
      </w:r>
      <w:r w:rsidRPr="00E53E52">
        <w:rPr>
          <w:rFonts w:ascii="Century Schoolbook" w:hAnsi="Century Schoolbook"/>
        </w:rPr>
        <w:t>, No. CV 85-4544-DMG (AGRx), 2018 WL 6133665 (Nov. 5, 2018).</w:t>
      </w:r>
    </w:p>
    <w:p w14:paraId="11C749EA" w14:textId="77777777" w:rsidR="00061BC6" w:rsidRPr="00E53E52" w:rsidRDefault="00061BC6" w:rsidP="00061BC6">
      <w:pPr>
        <w:spacing w:after="120"/>
        <w:ind w:firstLine="720"/>
        <w:jc w:val="both"/>
        <w:rPr>
          <w:rFonts w:ascii="Century Schoolbook" w:hAnsi="Century Schoolbook"/>
        </w:rPr>
      </w:pPr>
      <w:r w:rsidRPr="00E53E52">
        <w:rPr>
          <w:rFonts w:ascii="Century Schoolbook" w:hAnsi="Century Schoolbook"/>
        </w:rPr>
        <w:t xml:space="preserve">The litigation and public attention to custody and conditions issues sharpened the focus on developments around the family separation policy. In January 2019, the Office of Inspector General of HHS reported that “thousands” more children may have been separated. The report also revealed that the Department of Justice and DHS had begun separating families as early as July 1, 2017, well before the </w:t>
      </w:r>
      <w:bookmarkStart w:id="79" w:name="co_pp_sp_344_287_1"/>
      <w:bookmarkEnd w:id="79"/>
      <w:r w:rsidRPr="00E53E52">
        <w:rPr>
          <w:rFonts w:ascii="Century Schoolbook" w:hAnsi="Century Schoolbook"/>
        </w:rPr>
        <w:t xml:space="preserve">public announcement of the zero tolerance policy in May 2018. </w:t>
      </w:r>
      <w:r w:rsidRPr="00E53E52">
        <w:rPr>
          <w:rFonts w:ascii="Century Schoolbook" w:hAnsi="Century Schoolbook"/>
          <w:i/>
        </w:rPr>
        <w:t>Separated Children Placed in Office of Refugee Resettlement Care,</w:t>
      </w:r>
      <w:r w:rsidRPr="00E53E52">
        <w:rPr>
          <w:rFonts w:ascii="Century Schoolbook" w:hAnsi="Century Schoolbook"/>
        </w:rPr>
        <w:t xml:space="preserve"> HHS Office of Inspector General</w:t>
      </w:r>
      <w:r w:rsidRPr="00E53E52">
        <w:rPr>
          <w:rFonts w:ascii="Century Schoolbook" w:hAnsi="Century Schoolbook"/>
          <w:i/>
        </w:rPr>
        <w:t xml:space="preserve"> </w:t>
      </w:r>
      <w:r w:rsidRPr="00E53E52">
        <w:rPr>
          <w:rFonts w:ascii="Century Schoolbook" w:hAnsi="Century Schoolbook"/>
        </w:rPr>
        <w:t>(Jan. 17, 2019).</w:t>
      </w:r>
    </w:p>
    <w:p w14:paraId="256B40A5" w14:textId="77777777" w:rsidR="00061BC6" w:rsidRPr="00E53E52" w:rsidRDefault="00061BC6" w:rsidP="00061BC6">
      <w:pPr>
        <w:spacing w:after="120"/>
        <w:ind w:firstLine="720"/>
        <w:jc w:val="both"/>
        <w:rPr>
          <w:rFonts w:ascii="Century Schoolbook" w:hAnsi="Century Schoolbook"/>
        </w:rPr>
      </w:pPr>
      <w:r w:rsidRPr="00E53E52">
        <w:rPr>
          <w:rFonts w:ascii="Century Schoolbook" w:hAnsi="Century Schoolbook"/>
        </w:rPr>
        <w:t xml:space="preserve">In March and April 2019, relying on the Office of Inspector General report, the district court in </w:t>
      </w:r>
      <w:r w:rsidRPr="00E53E52">
        <w:rPr>
          <w:rFonts w:ascii="Century Schoolbook" w:hAnsi="Century Schoolbook"/>
          <w:i/>
        </w:rPr>
        <w:t>Ms. L. v. ICE</w:t>
      </w:r>
      <w:r w:rsidRPr="00E53E52">
        <w:rPr>
          <w:rFonts w:ascii="Century Schoolbook" w:hAnsi="Century Schoolbook"/>
        </w:rPr>
        <w:t xml:space="preserve"> enlarged the class to include these separated parents and imposed a six-month deadline on the government to identify all of the children it separated from parents. </w:t>
      </w:r>
      <w:r w:rsidRPr="00E53E52">
        <w:rPr>
          <w:rFonts w:ascii="Century Schoolbook" w:hAnsi="Century Schoolbook"/>
          <w:i/>
        </w:rPr>
        <w:t xml:space="preserve">See </w:t>
      </w:r>
      <w:r w:rsidRPr="00E53E52">
        <w:rPr>
          <w:rFonts w:ascii="Century Schoolbook" w:hAnsi="Century Schoolbook"/>
          <w:bCs/>
          <w:i/>
        </w:rPr>
        <w:t>Ms. L. v. U.S Immigration and Customs Enforcement (“ICE”)</w:t>
      </w:r>
      <w:r w:rsidRPr="00E53E52">
        <w:rPr>
          <w:rFonts w:ascii="Century Schoolbook" w:hAnsi="Century Schoolbook"/>
          <w:bCs/>
        </w:rPr>
        <w:t xml:space="preserve">, 330 F.R.D. 284, </w:t>
      </w:r>
      <w:r w:rsidRPr="00E53E52">
        <w:rPr>
          <w:rFonts w:ascii="Century Schoolbook" w:hAnsi="Century Schoolbook"/>
        </w:rPr>
        <w:t>292-93</w:t>
      </w:r>
      <w:r w:rsidRPr="00E53E52">
        <w:rPr>
          <w:rFonts w:ascii="Century Schoolbook" w:hAnsi="Century Schoolbook"/>
          <w:bCs/>
        </w:rPr>
        <w:t xml:space="preserve"> (2019)</w:t>
      </w:r>
      <w:r w:rsidRPr="00E53E52">
        <w:rPr>
          <w:rFonts w:ascii="Century Schoolbook" w:hAnsi="Century Schoolbook"/>
        </w:rPr>
        <w:t xml:space="preserve">; </w:t>
      </w:r>
      <w:r w:rsidRPr="00E53E52">
        <w:rPr>
          <w:rFonts w:ascii="Century Schoolbook" w:hAnsi="Century Schoolbook"/>
          <w:i/>
        </w:rPr>
        <w:t xml:space="preserve">Ms. L. v. ICE, Order Following Status Conference, </w:t>
      </w:r>
      <w:r w:rsidRPr="00E53E52">
        <w:rPr>
          <w:rFonts w:ascii="Century Schoolbook" w:hAnsi="Century Schoolbook"/>
        </w:rPr>
        <w:t>18cv0428 DMS (MDD)(Apr. 24, 2019).</w:t>
      </w:r>
    </w:p>
    <w:p w14:paraId="25BDD07E" w14:textId="77777777" w:rsidR="003E7B3C" w:rsidRPr="00E53E52" w:rsidRDefault="005E7732" w:rsidP="001D1D6E">
      <w:pPr>
        <w:autoSpaceDE w:val="0"/>
        <w:autoSpaceDN w:val="0"/>
        <w:adjustRightInd w:val="0"/>
        <w:spacing w:after="120"/>
        <w:jc w:val="both"/>
        <w:rPr>
          <w:rFonts w:ascii="Century Schoolbook" w:hAnsi="Century Schoolbook"/>
          <w:b/>
        </w:rPr>
      </w:pPr>
      <w:r w:rsidRPr="00E53E52">
        <w:rPr>
          <w:rFonts w:ascii="Century Schoolbook" w:hAnsi="Century Schoolbook"/>
          <w:b/>
        </w:rPr>
        <w:t>p. 369, retitle heading:</w:t>
      </w:r>
    </w:p>
    <w:p w14:paraId="7DF42698" w14:textId="5AFAC424" w:rsidR="005E7732" w:rsidRPr="00E53E52" w:rsidRDefault="005E7732" w:rsidP="001D1D6E">
      <w:pPr>
        <w:autoSpaceDE w:val="0"/>
        <w:autoSpaceDN w:val="0"/>
        <w:adjustRightInd w:val="0"/>
        <w:spacing w:after="120"/>
        <w:jc w:val="both"/>
        <w:rPr>
          <w:rFonts w:ascii="Century Schoolbook" w:hAnsi="Century Schoolbook"/>
          <w:b/>
        </w:rPr>
      </w:pPr>
      <w:r w:rsidRPr="00E53E52">
        <w:rPr>
          <w:rFonts w:ascii="Century Schoolbook" w:hAnsi="Century Schoolbook"/>
          <w:b/>
        </w:rPr>
        <w:t>f. Further Perspectives on the BIA</w:t>
      </w:r>
      <w:r w:rsidR="00C909C4" w:rsidRPr="00E53E52">
        <w:rPr>
          <w:rFonts w:ascii="Century Schoolbook" w:hAnsi="Century Schoolbook"/>
          <w:b/>
        </w:rPr>
        <w:t>’</w:t>
      </w:r>
      <w:r w:rsidRPr="00E53E52">
        <w:rPr>
          <w:rFonts w:ascii="Century Schoolbook" w:hAnsi="Century Schoolbook"/>
          <w:b/>
        </w:rPr>
        <w:t>s Criteria</w:t>
      </w:r>
    </w:p>
    <w:p w14:paraId="1A799799" w14:textId="59343971" w:rsidR="00395096" w:rsidRPr="00E53E52" w:rsidRDefault="00395096" w:rsidP="001D1D6E">
      <w:pPr>
        <w:spacing w:after="120"/>
        <w:rPr>
          <w:rFonts w:ascii="Century Schoolbook" w:hAnsi="Century Schoolbook" w:cs="Times New Roman"/>
        </w:rPr>
      </w:pPr>
      <w:r w:rsidRPr="00E53E52">
        <w:rPr>
          <w:rFonts w:ascii="Century Schoolbook" w:hAnsi="Century Schoolbook" w:cs="Times New Roman"/>
          <w:b/>
        </w:rPr>
        <w:t xml:space="preserve">p. 375, </w:t>
      </w:r>
      <w:r w:rsidR="008374CF" w:rsidRPr="00E53E52">
        <w:rPr>
          <w:rFonts w:ascii="Century Schoolbook" w:hAnsi="Century Schoolbook" w:cs="Times New Roman"/>
          <w:b/>
        </w:rPr>
        <w:t xml:space="preserve">at end of current Notes, </w:t>
      </w:r>
      <w:r w:rsidRPr="00E53E52">
        <w:rPr>
          <w:rFonts w:ascii="Century Schoolbook" w:hAnsi="Century Schoolbook" w:cs="Times New Roman"/>
          <w:b/>
        </w:rPr>
        <w:t>add new Note 3</w:t>
      </w:r>
      <w:r w:rsidR="00E149ED" w:rsidRPr="00E53E52">
        <w:rPr>
          <w:rFonts w:ascii="Century Schoolbook" w:hAnsi="Century Schoolbook" w:cs="Times New Roman"/>
          <w:b/>
        </w:rPr>
        <w:t xml:space="preserve"> and a new principal case</w:t>
      </w:r>
      <w:r w:rsidR="00956801" w:rsidRPr="00E53E52">
        <w:rPr>
          <w:rFonts w:ascii="Century Schoolbook" w:hAnsi="Century Schoolbook" w:cs="Times New Roman"/>
          <w:b/>
        </w:rPr>
        <w:t xml:space="preserve">, </w:t>
      </w:r>
      <w:r w:rsidR="00956801" w:rsidRPr="00E53E52">
        <w:rPr>
          <w:rFonts w:ascii="Century Schoolbook" w:hAnsi="Century Schoolbook" w:cs="Times New Roman"/>
          <w:b/>
          <w:i/>
        </w:rPr>
        <w:t>Matter of A-B-</w:t>
      </w:r>
      <w:r w:rsidRPr="00E53E52">
        <w:rPr>
          <w:rFonts w:ascii="Century Schoolbook" w:hAnsi="Century Schoolbook" w:cs="Times New Roman"/>
          <w:b/>
        </w:rPr>
        <w:t>:</w:t>
      </w:r>
    </w:p>
    <w:p w14:paraId="7829997F" w14:textId="76503E21" w:rsidR="00EA0D74" w:rsidRPr="00E53E52" w:rsidRDefault="00054939" w:rsidP="0036367F">
      <w:pPr>
        <w:spacing w:after="120"/>
        <w:ind w:firstLine="720"/>
        <w:jc w:val="both"/>
        <w:rPr>
          <w:rFonts w:ascii="Century Schoolbook" w:hAnsi="Century Schoolbook" w:cs="Times New Roman"/>
        </w:rPr>
      </w:pPr>
      <w:r w:rsidRPr="00E53E52">
        <w:rPr>
          <w:rFonts w:ascii="Century Schoolbook" w:hAnsi="Century Schoolbook" w:cs="Times New Roman"/>
        </w:rPr>
        <w:t>3. Two months prior to the BIA</w:t>
      </w:r>
      <w:r w:rsidR="00C909C4" w:rsidRPr="00E53E52">
        <w:rPr>
          <w:rFonts w:ascii="Century Schoolbook" w:hAnsi="Century Schoolbook" w:cs="Times New Roman"/>
        </w:rPr>
        <w:t>’</w:t>
      </w:r>
      <w:r w:rsidRPr="00E53E52">
        <w:rPr>
          <w:rFonts w:ascii="Century Schoolbook" w:hAnsi="Century Schoolbook" w:cs="Times New Roman"/>
        </w:rPr>
        <w:t xml:space="preserve">s decisions in </w:t>
      </w:r>
      <w:r w:rsidRPr="00E53E52">
        <w:rPr>
          <w:rFonts w:ascii="Century Schoolbook" w:hAnsi="Century Schoolbook" w:cs="Times New Roman"/>
          <w:i/>
        </w:rPr>
        <w:t>Matter of M-E-V-G-</w:t>
      </w:r>
      <w:r w:rsidRPr="00E53E52">
        <w:rPr>
          <w:rFonts w:ascii="Century Schoolbook" w:hAnsi="Century Schoolbook" w:cs="Times New Roman"/>
        </w:rPr>
        <w:t xml:space="preserve"> and </w:t>
      </w:r>
      <w:r w:rsidRPr="00E53E52">
        <w:rPr>
          <w:rFonts w:ascii="Century Schoolbook" w:hAnsi="Century Schoolbook" w:cs="Times New Roman"/>
          <w:i/>
        </w:rPr>
        <w:t>Matter of</w:t>
      </w:r>
      <w:r w:rsidR="00810FDA" w:rsidRPr="00E53E52">
        <w:rPr>
          <w:rFonts w:ascii="Century Schoolbook" w:hAnsi="Century Schoolbook" w:cs="Times New Roman"/>
          <w:i/>
        </w:rPr>
        <w:t xml:space="preserve"> </w:t>
      </w:r>
      <w:r w:rsidRPr="00E53E52">
        <w:rPr>
          <w:rFonts w:ascii="Century Schoolbook" w:hAnsi="Century Schoolbook" w:cs="Times New Roman"/>
          <w:i/>
        </w:rPr>
        <w:t>W-G-R-</w:t>
      </w:r>
      <w:r w:rsidRPr="00E53E52">
        <w:rPr>
          <w:rFonts w:ascii="Century Schoolbook" w:hAnsi="Century Schoolbook" w:cs="Times New Roman"/>
        </w:rPr>
        <w:t xml:space="preserve">, the Court of Justice of the European Union (CJEU) analyzed whether homosexuals constitute a particular social group subject to persecution in Senegal, Sierra Leone, and Uganda. </w:t>
      </w:r>
      <w:r w:rsidRPr="00E53E52">
        <w:rPr>
          <w:rFonts w:ascii="Century Schoolbook" w:hAnsi="Century Schoolbook" w:cs="Times New Roman"/>
          <w:i/>
        </w:rPr>
        <w:t>X, Y, Z v. Minister voor Immigratie en Asiel</w:t>
      </w:r>
      <w:r w:rsidRPr="00E53E52">
        <w:rPr>
          <w:rFonts w:ascii="Century Schoolbook" w:hAnsi="Century Schoolbook" w:cs="Times New Roman"/>
        </w:rPr>
        <w:t xml:space="preserve">, Judgment of November 7, 2013, C-199/12, C-201/12. Interpreting the EU Qualification Directive (see pp. 60, 1020 of the casebook), the CJEU ruled that a particular social group must have </w:t>
      </w:r>
      <w:r w:rsidR="00C909C4" w:rsidRPr="00E53E52">
        <w:rPr>
          <w:rFonts w:ascii="Century Schoolbook" w:hAnsi="Century Schoolbook" w:cs="Times New Roman"/>
        </w:rPr>
        <w:t>“</w:t>
      </w:r>
      <w:r w:rsidRPr="00E53E52">
        <w:rPr>
          <w:rFonts w:ascii="Century Schoolbook" w:hAnsi="Century Schoolbook" w:cs="Times New Roman"/>
        </w:rPr>
        <w:t>a distinct identity in the relevant country because it is perceived as being different by the surrounding society.</w:t>
      </w:r>
      <w:r w:rsidR="00C909C4" w:rsidRPr="00E53E52">
        <w:rPr>
          <w:rFonts w:ascii="Century Schoolbook" w:hAnsi="Century Schoolbook" w:cs="Times New Roman"/>
        </w:rPr>
        <w:t>”</w:t>
      </w:r>
      <w:r w:rsidR="0036367F" w:rsidRPr="00E53E52">
        <w:rPr>
          <w:rFonts w:ascii="Century Schoolbook" w:hAnsi="Century Schoolbook" w:cs="Times New Roman"/>
        </w:rPr>
        <w:t xml:space="preserve"> </w:t>
      </w:r>
      <w:r w:rsidR="00C01428" w:rsidRPr="00E53E52">
        <w:rPr>
          <w:rFonts w:ascii="Century Schoolbook" w:hAnsi="Century Schoolbook" w:cs="Times New Roman"/>
        </w:rPr>
        <w:t xml:space="preserve">Para. 45. Further, the CJEU concluded that </w:t>
      </w:r>
      <w:r w:rsidR="00C909C4" w:rsidRPr="00E53E52">
        <w:rPr>
          <w:rFonts w:ascii="Century Schoolbook" w:hAnsi="Century Schoolbook" w:cs="Times New Roman"/>
        </w:rPr>
        <w:t>““</w:t>
      </w:r>
      <w:r w:rsidR="00C01428" w:rsidRPr="00E53E52">
        <w:rPr>
          <w:rFonts w:ascii="Century Schoolbook" w:hAnsi="Century Schoolbook" w:cs="Times New Roman"/>
        </w:rPr>
        <w:t>the existence of criminal laws * * * which specifically target homosexuals, supports a finding that those persons form a separate group which is perceived by the surrounding society as being different</w:t>
      </w:r>
      <w:r w:rsidR="007E3C1C" w:rsidRPr="00E53E52">
        <w:rPr>
          <w:rFonts w:ascii="Century Schoolbook" w:hAnsi="Century Schoolbook" w:cs="Times New Roman"/>
        </w:rPr>
        <w:t>.</w:t>
      </w:r>
      <w:r w:rsidR="00C909C4" w:rsidRPr="00E53E52">
        <w:rPr>
          <w:rFonts w:ascii="Century Schoolbook" w:hAnsi="Century Schoolbook" w:cs="Times New Roman"/>
        </w:rPr>
        <w:t>”</w:t>
      </w:r>
      <w:r w:rsidR="007E3C1C" w:rsidRPr="00E53E52">
        <w:rPr>
          <w:rFonts w:ascii="Century Schoolbook" w:hAnsi="Century Schoolbook" w:cs="Times New Roman"/>
        </w:rPr>
        <w:t xml:space="preserve"> </w:t>
      </w:r>
      <w:r w:rsidR="00C01428" w:rsidRPr="00E53E52">
        <w:rPr>
          <w:rFonts w:ascii="Century Schoolbook" w:hAnsi="Century Schoolbook" w:cs="Times New Roman"/>
        </w:rPr>
        <w:t>Para. 48</w:t>
      </w:r>
      <w:r w:rsidR="00027B0C" w:rsidRPr="00E53E52">
        <w:rPr>
          <w:rFonts w:ascii="Century Schoolbook" w:hAnsi="Century Schoolbook" w:cs="Times New Roman"/>
        </w:rPr>
        <w:t xml:space="preserve">. </w:t>
      </w:r>
      <w:r w:rsidR="00C01428" w:rsidRPr="00E53E52">
        <w:rPr>
          <w:rFonts w:ascii="Century Schoolbook" w:hAnsi="Century Schoolbook" w:cs="Times New Roman"/>
        </w:rPr>
        <w:t xml:space="preserve">The CJEU added that criminalization of homosexual acts does not </w:t>
      </w:r>
      <w:r w:rsidR="00EA0D74" w:rsidRPr="00E53E52">
        <w:rPr>
          <w:rFonts w:ascii="Century Schoolbook" w:hAnsi="Century Schoolbook" w:cs="Times New Roman"/>
        </w:rPr>
        <w:t xml:space="preserve">by itself </w:t>
      </w:r>
      <w:r w:rsidR="00C01428" w:rsidRPr="00E53E52">
        <w:rPr>
          <w:rFonts w:ascii="Century Schoolbook" w:hAnsi="Century Schoolbook" w:cs="Times New Roman"/>
        </w:rPr>
        <w:t xml:space="preserve">constitute persecution, but that criminal penalties that are actually enforced </w:t>
      </w:r>
      <w:r w:rsidR="00EA0D74" w:rsidRPr="00E53E52">
        <w:rPr>
          <w:rFonts w:ascii="Century Schoolbook" w:hAnsi="Century Schoolbook" w:cs="Times New Roman"/>
        </w:rPr>
        <w:t>amount to</w:t>
      </w:r>
      <w:r w:rsidR="00C01428" w:rsidRPr="00E53E52">
        <w:rPr>
          <w:rFonts w:ascii="Century Schoolbook" w:hAnsi="Century Schoolbook" w:cs="Times New Roman"/>
        </w:rPr>
        <w:t xml:space="preserve"> disproportionate or discriminatory punishment and, </w:t>
      </w:r>
      <w:r w:rsidR="00EA0D74" w:rsidRPr="00E53E52">
        <w:rPr>
          <w:rFonts w:ascii="Century Schoolbook" w:hAnsi="Century Schoolbook" w:cs="Times New Roman"/>
        </w:rPr>
        <w:t>therefore, constitute persecution</w:t>
      </w:r>
      <w:r w:rsidR="00027B0C" w:rsidRPr="00E53E52">
        <w:rPr>
          <w:rFonts w:ascii="Century Schoolbook" w:hAnsi="Century Schoolbook" w:cs="Times New Roman"/>
        </w:rPr>
        <w:t xml:space="preserve">. </w:t>
      </w:r>
      <w:r w:rsidR="00EA0D74" w:rsidRPr="00E53E52">
        <w:rPr>
          <w:rFonts w:ascii="Century Schoolbook" w:hAnsi="Century Schoolbook" w:cs="Times New Roman"/>
        </w:rPr>
        <w:t>Moreover, the Court held that it is illegitimate to expect asylum applicants to conceal their homosexuality in their home country.</w:t>
      </w:r>
    </w:p>
    <w:p w14:paraId="6BCDBA8A" w14:textId="3922B870" w:rsidR="00635EA9" w:rsidRPr="00E53E52" w:rsidRDefault="00635EA9" w:rsidP="00635EA9">
      <w:pPr>
        <w:spacing w:after="120"/>
        <w:rPr>
          <w:rFonts w:ascii="Century Schoolbook" w:hAnsi="Century Schoolbook" w:cs="Times New Roman"/>
        </w:rPr>
      </w:pPr>
      <w:r w:rsidRPr="00E53E52">
        <w:rPr>
          <w:rFonts w:ascii="Century Schoolbook" w:hAnsi="Century Schoolbook" w:cs="Times New Roman"/>
          <w:b/>
        </w:rPr>
        <w:t>p. 375, after new Note 3:</w:t>
      </w:r>
    </w:p>
    <w:p w14:paraId="2E0B4E00" w14:textId="77777777" w:rsidR="00635EA9" w:rsidRPr="00E53E52" w:rsidRDefault="00635EA9" w:rsidP="00635EA9">
      <w:pPr>
        <w:spacing w:after="120"/>
        <w:rPr>
          <w:rFonts w:ascii="Century Schoolbook" w:hAnsi="Century Schoolbook"/>
          <w:b/>
        </w:rPr>
      </w:pPr>
      <w:r w:rsidRPr="00E53E52">
        <w:rPr>
          <w:rFonts w:ascii="Century Schoolbook" w:hAnsi="Century Schoolbook"/>
          <w:b/>
        </w:rPr>
        <w:lastRenderedPageBreak/>
        <w:t xml:space="preserve">OPTIONS: </w:t>
      </w:r>
    </w:p>
    <w:p w14:paraId="02BC1937" w14:textId="77777777" w:rsidR="00635EA9" w:rsidRPr="00E53E52" w:rsidRDefault="00635EA9" w:rsidP="00635EA9">
      <w:pPr>
        <w:spacing w:after="120"/>
        <w:jc w:val="both"/>
        <w:rPr>
          <w:rFonts w:ascii="Century Schoolbook" w:hAnsi="Century Schoolbook"/>
          <w:b/>
        </w:rPr>
      </w:pPr>
      <w:r w:rsidRPr="00E53E52">
        <w:rPr>
          <w:rFonts w:ascii="Century Schoolbook" w:hAnsi="Century Schoolbook"/>
          <w:b/>
        </w:rPr>
        <w:t xml:space="preserve">Instructors have multiple options for covering the U.S. Attorney General’s July 2018 decision in </w:t>
      </w:r>
      <w:r w:rsidRPr="00E53E52">
        <w:rPr>
          <w:rFonts w:ascii="Century Schoolbook" w:hAnsi="Century Schoolbook" w:cs="Times New Roman"/>
          <w:b/>
          <w:i/>
        </w:rPr>
        <w:t>Matter of A-B-</w:t>
      </w:r>
      <w:r w:rsidRPr="00E53E52">
        <w:rPr>
          <w:rFonts w:ascii="Century Schoolbook" w:hAnsi="Century Schoolbook"/>
          <w:b/>
        </w:rPr>
        <w:t>:</w:t>
      </w:r>
    </w:p>
    <w:p w14:paraId="052003D6" w14:textId="4EB212E9" w:rsidR="00635EA9" w:rsidRPr="00E53E52" w:rsidRDefault="00635EA9" w:rsidP="00833A14">
      <w:pPr>
        <w:spacing w:after="120"/>
        <w:ind w:left="720"/>
        <w:jc w:val="both"/>
        <w:rPr>
          <w:rFonts w:ascii="Century Schoolbook" w:hAnsi="Century Schoolbook" w:cs="Times New Roman"/>
          <w:b/>
        </w:rPr>
      </w:pPr>
      <w:r w:rsidRPr="00E53E52">
        <w:rPr>
          <w:rFonts w:ascii="Century Schoolbook" w:hAnsi="Century Schoolbook"/>
          <w:b/>
        </w:rPr>
        <w:t xml:space="preserve">Option 1: on page 375, </w:t>
      </w:r>
      <w:r w:rsidR="00833A14" w:rsidRPr="00E53E52">
        <w:rPr>
          <w:rFonts w:ascii="Century Schoolbook" w:hAnsi="Century Schoolbook"/>
          <w:b/>
        </w:rPr>
        <w:t>in the materials on membership in a particular social group</w:t>
      </w:r>
      <w:r w:rsidRPr="00E53E52">
        <w:rPr>
          <w:rFonts w:ascii="Century Schoolbook" w:hAnsi="Century Schoolbook" w:cs="Times New Roman"/>
          <w:b/>
        </w:rPr>
        <w:t xml:space="preserve"> </w:t>
      </w:r>
    </w:p>
    <w:p w14:paraId="6003EB88" w14:textId="22477171" w:rsidR="00635EA9" w:rsidRPr="00E53E52" w:rsidRDefault="00635EA9" w:rsidP="00833A14">
      <w:pPr>
        <w:spacing w:after="120"/>
        <w:ind w:left="720"/>
        <w:jc w:val="both"/>
        <w:rPr>
          <w:rFonts w:ascii="Century Schoolbook" w:hAnsi="Century Schoolbook" w:cs="Times New Roman"/>
          <w:b/>
        </w:rPr>
      </w:pPr>
      <w:r w:rsidRPr="00E53E52">
        <w:rPr>
          <w:rFonts w:ascii="Century Schoolbook" w:hAnsi="Century Schoolbook"/>
          <w:b/>
        </w:rPr>
        <w:t xml:space="preserve">Option 2: on page </w:t>
      </w:r>
      <w:r w:rsidR="00833A14" w:rsidRPr="00E53E52">
        <w:rPr>
          <w:rFonts w:ascii="Century Schoolbook" w:hAnsi="Century Schoolbook"/>
          <w:b/>
        </w:rPr>
        <w:t>442</w:t>
      </w:r>
      <w:r w:rsidRPr="00E53E52">
        <w:rPr>
          <w:rFonts w:ascii="Century Schoolbook" w:hAnsi="Century Schoolbook"/>
          <w:b/>
        </w:rPr>
        <w:t xml:space="preserve">, </w:t>
      </w:r>
      <w:r w:rsidR="00833A14" w:rsidRPr="00E53E52">
        <w:rPr>
          <w:rFonts w:ascii="Century Schoolbook" w:hAnsi="Century Schoolbook"/>
          <w:b/>
        </w:rPr>
        <w:t>in the materials on domestic violence-related asylum</w:t>
      </w:r>
      <w:r w:rsidRPr="00E53E52">
        <w:rPr>
          <w:rFonts w:ascii="Century Schoolbook" w:hAnsi="Century Schoolbook" w:cs="Times New Roman"/>
          <w:b/>
        </w:rPr>
        <w:t xml:space="preserve"> </w:t>
      </w:r>
    </w:p>
    <w:p w14:paraId="21EC7A0B" w14:textId="24F17742" w:rsidR="00635EA9" w:rsidRPr="00E53E52" w:rsidRDefault="00635EA9" w:rsidP="00635EA9">
      <w:pPr>
        <w:jc w:val="center"/>
        <w:rPr>
          <w:rFonts w:ascii="Century Schoolbook" w:hAnsi="Century Schoolbook"/>
          <w:caps/>
        </w:rPr>
      </w:pPr>
      <w:r w:rsidRPr="00E53E52">
        <w:rPr>
          <w:rFonts w:ascii="Century Schoolbook" w:hAnsi="Century Schoolbook"/>
          <w:caps/>
        </w:rPr>
        <w:t>___________________</w:t>
      </w:r>
    </w:p>
    <w:p w14:paraId="6396C9DD" w14:textId="166AEF46" w:rsidR="00635EA9" w:rsidRPr="00E53E52" w:rsidRDefault="00635EA9" w:rsidP="00635EA9">
      <w:pPr>
        <w:keepNext/>
        <w:spacing w:after="120"/>
        <w:jc w:val="both"/>
        <w:rPr>
          <w:rFonts w:ascii="Century Schoolbook" w:hAnsi="Century Schoolbook" w:cs="Times New Roman"/>
          <w:b/>
        </w:rPr>
      </w:pPr>
      <w:r w:rsidRPr="00E53E52">
        <w:rPr>
          <w:rFonts w:ascii="Century Schoolbook" w:hAnsi="Century Schoolbook"/>
          <w:b/>
        </w:rPr>
        <w:t xml:space="preserve">p. 375, after new note 4, add </w:t>
      </w:r>
      <w:r w:rsidRPr="00E53E52">
        <w:rPr>
          <w:rFonts w:ascii="Century Schoolbook" w:hAnsi="Century Schoolbook" w:cs="Times New Roman"/>
          <w:b/>
          <w:i/>
        </w:rPr>
        <w:t>Matter of A-B-</w:t>
      </w:r>
      <w:r w:rsidRPr="00E53E52">
        <w:rPr>
          <w:rFonts w:ascii="Century Schoolbook" w:hAnsi="Century Schoolbook" w:cs="Times New Roman"/>
          <w:b/>
        </w:rPr>
        <w:t xml:space="preserve"> as a new case</w:t>
      </w:r>
      <w:r w:rsidRPr="00E53E52">
        <w:rPr>
          <w:rStyle w:val="FootnoteReference"/>
          <w:rFonts w:ascii="Century Schoolbook" w:hAnsi="Century Schoolbook" w:cs="Times New Roman"/>
          <w:b/>
        </w:rPr>
        <w:footnoteReference w:customMarkFollows="1" w:id="8"/>
        <w:t xml:space="preserve">* </w:t>
      </w:r>
      <w:r w:rsidRPr="00E53E52">
        <w:rPr>
          <w:rFonts w:ascii="Century Schoolbook" w:hAnsi="Century Schoolbook" w:cs="Times New Roman"/>
          <w:b/>
        </w:rPr>
        <w:t xml:space="preserve">with Notes and Questions following: </w:t>
      </w:r>
    </w:p>
    <w:p w14:paraId="07689C90" w14:textId="77777777" w:rsidR="00635EA9" w:rsidRPr="00E53E52" w:rsidRDefault="00635EA9" w:rsidP="00635EA9">
      <w:pPr>
        <w:pStyle w:val="BodyText"/>
        <w:widowControl/>
        <w:ind w:firstLine="720"/>
        <w:rPr>
          <w:rFonts w:ascii="Century Schoolbook" w:hAnsi="Century Schoolbook"/>
        </w:rPr>
      </w:pPr>
      <w:r w:rsidRPr="00E53E52">
        <w:rPr>
          <w:rFonts w:ascii="Century Schoolbook" w:hAnsi="Century Schoolbook"/>
        </w:rPr>
        <w:t xml:space="preserve">Attorney General Sessions referred the unpublished decision in the following case to himself for decision. Parties and interested amici were invited to submit briefs on issues in the case, including </w:t>
      </w:r>
      <w:r w:rsidRPr="00E53E52">
        <w:rPr>
          <w:rFonts w:ascii="Century Schoolbook" w:hAnsi="Century Schoolbook" w:cs="Times New Roman"/>
        </w:rPr>
        <w:t>“whether, and under what circumstances, being a victim of private criminal activity constitutes a cognizable ‘particular social group’ for purposes of an application for asylum or withholding of removal.</w:t>
      </w:r>
      <w:r w:rsidRPr="00E53E52">
        <w:rPr>
          <w:rFonts w:ascii="Century Schoolbook" w:hAnsi="Century Schoolbook"/>
        </w:rPr>
        <w:t xml:space="preserve">” In June 2018, he issued the following opinion. </w:t>
      </w:r>
    </w:p>
    <w:p w14:paraId="534AE913" w14:textId="77777777" w:rsidR="00635EA9" w:rsidRPr="00E53E52" w:rsidRDefault="00635EA9" w:rsidP="00635EA9">
      <w:pPr>
        <w:keepNext/>
        <w:autoSpaceDE w:val="0"/>
        <w:autoSpaceDN w:val="0"/>
        <w:adjustRightInd w:val="0"/>
        <w:spacing w:after="120"/>
        <w:ind w:left="100" w:right="100"/>
        <w:jc w:val="center"/>
        <w:rPr>
          <w:rFonts w:ascii="Century Schoolbook" w:hAnsi="Century Schoolbook" w:cs="Georgia"/>
          <w:b/>
        </w:rPr>
      </w:pPr>
      <w:r w:rsidRPr="00E53E52">
        <w:rPr>
          <w:rFonts w:ascii="Century Schoolbook" w:hAnsi="Century Schoolbook" w:cs="Georgia"/>
          <w:b/>
        </w:rPr>
        <w:t>MATTER of A–B–</w:t>
      </w:r>
    </w:p>
    <w:p w14:paraId="7BDC508C" w14:textId="77777777" w:rsidR="00635EA9" w:rsidRPr="00E53E52" w:rsidRDefault="00635EA9" w:rsidP="00635EA9">
      <w:pPr>
        <w:keepNext/>
        <w:tabs>
          <w:tab w:val="center" w:pos="4680"/>
        </w:tabs>
        <w:spacing w:after="120"/>
        <w:jc w:val="center"/>
        <w:rPr>
          <w:rStyle w:val="CH1"/>
          <w:rFonts w:ascii="Century Schoolbook" w:hAnsi="Century Schoolbook"/>
          <w:spacing w:val="-2"/>
          <w:sz w:val="18"/>
          <w:szCs w:val="18"/>
        </w:rPr>
      </w:pPr>
      <w:r w:rsidRPr="00E53E52">
        <w:rPr>
          <w:rFonts w:ascii="Century Schoolbook" w:hAnsi="Century Schoolbook" w:cs="Times New Roman"/>
          <w:sz w:val="18"/>
          <w:szCs w:val="18"/>
        </w:rPr>
        <w:t xml:space="preserve">Attorney General, </w:t>
      </w:r>
      <w:r w:rsidRPr="00E53E52">
        <w:rPr>
          <w:rStyle w:val="CH1"/>
          <w:rFonts w:ascii="Century Schoolbook" w:hAnsi="Century Schoolbook"/>
          <w:spacing w:val="-2"/>
          <w:sz w:val="18"/>
          <w:szCs w:val="18"/>
        </w:rPr>
        <w:t>2018.</w:t>
      </w:r>
      <w:r w:rsidRPr="00E53E52">
        <w:rPr>
          <w:rFonts w:ascii="Century Schoolbook" w:hAnsi="Century Schoolbook" w:cs="Times New Roman"/>
          <w:sz w:val="18"/>
          <w:szCs w:val="18"/>
        </w:rPr>
        <w:br/>
      </w:r>
      <w:r w:rsidRPr="00E53E52">
        <w:rPr>
          <w:rFonts w:ascii="Century Schoolbook" w:hAnsi="Century Schoolbook" w:cs="Georgia"/>
          <w:sz w:val="18"/>
          <w:szCs w:val="18"/>
        </w:rPr>
        <w:t>27 I. &amp; N. Dec. 316.</w:t>
      </w:r>
    </w:p>
    <w:p w14:paraId="4E0AF21C" w14:textId="77777777" w:rsidR="00635EA9" w:rsidRPr="00E53E52" w:rsidRDefault="00635EA9" w:rsidP="00635EA9">
      <w:pPr>
        <w:pStyle w:val="BodyText"/>
        <w:widowControl/>
        <w:spacing w:after="0"/>
        <w:ind w:firstLine="0"/>
        <w:jc w:val="center"/>
        <w:rPr>
          <w:rFonts w:ascii="Century Schoolbook" w:hAnsi="Century Schoolbook" w:cs="Times New Roman"/>
        </w:rPr>
      </w:pPr>
      <w:bookmarkStart w:id="80" w:name="co_pp_sp_1650_317_1"/>
      <w:bookmarkEnd w:id="80"/>
      <w:r w:rsidRPr="00E53E52">
        <w:rPr>
          <w:rFonts w:ascii="Century Schoolbook" w:hAnsi="Century Schoolbook" w:cs="Times New Roman"/>
        </w:rPr>
        <w:t>* * * </w:t>
      </w:r>
    </w:p>
    <w:p w14:paraId="14F701B4"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The prototypical refugee flees her home country because the government has persecuted her—either directly through its own actions or indirectly by being unwilling or unable to prevent the misconduct of non-government actors—based upon a statutorily protected ground. Where the persecutor is not part of the government, the immigration judge must consider both the reason for the harm inflicted on the asylum applicant and the government’s role in sponsoring or enabling such actions. An alien may suffer threats and violence in a foreign country for any number of reasons relating to her social, economic, family, or other personal circumstances. Yet the asylum statute does not provide redress for all misfortune. It applies when persecution arises on account of membership in a protected group and the victim may not find protection except by taking refuge in another country.</w:t>
      </w:r>
    </w:p>
    <w:p w14:paraId="63090E96" w14:textId="77777777" w:rsidR="00635EA9" w:rsidRPr="00E53E52" w:rsidRDefault="00635EA9" w:rsidP="00635EA9">
      <w:pPr>
        <w:pStyle w:val="BodyText"/>
        <w:widowControl/>
        <w:spacing w:after="0"/>
        <w:ind w:firstLine="0"/>
        <w:jc w:val="center"/>
        <w:rPr>
          <w:rFonts w:ascii="Century Schoolbook" w:hAnsi="Century Schoolbook" w:cs="Times New Roman"/>
        </w:rPr>
      </w:pPr>
      <w:r w:rsidRPr="00E53E52">
        <w:rPr>
          <w:rFonts w:ascii="Century Schoolbook" w:hAnsi="Century Schoolbook" w:cs="Times New Roman"/>
        </w:rPr>
        <w:t>* * * </w:t>
      </w:r>
    </w:p>
    <w:p w14:paraId="6D81732C" w14:textId="510A6B6E" w:rsidR="00635EA9" w:rsidRPr="00E53E52" w:rsidRDefault="00635EA9" w:rsidP="00635EA9">
      <w:pPr>
        <w:pStyle w:val="BodyText"/>
        <w:widowControl/>
        <w:spacing w:after="120"/>
        <w:ind w:firstLine="720"/>
        <w:rPr>
          <w:rFonts w:ascii="Century Schoolbook" w:hAnsi="Century Schoolbook" w:cs="Times New Roman"/>
        </w:rPr>
      </w:pPr>
      <w:r w:rsidRPr="00E53E52">
        <w:rPr>
          <w:rFonts w:ascii="Century Schoolbook" w:hAnsi="Century Schoolbook" w:cs="Times New Roman"/>
        </w:rPr>
        <w:t>Generally, claims by aliens pertaining to domestic violence or gang violence perpetrated by non-governmental actors will not qualify for asylum.</w:t>
      </w:r>
      <w:bookmarkStart w:id="81" w:name="co_footnoteReference_FN_F1_ID0E1CAE_1"/>
      <w:bookmarkEnd w:id="81"/>
      <w:r w:rsidR="007E3944" w:rsidRPr="00E53E52">
        <w:rPr>
          <w:rStyle w:val="FootnoteReference"/>
          <w:rFonts w:ascii="Century Schoolbook" w:hAnsi="Century Schoolbook" w:cs="Times New Roman"/>
        </w:rPr>
        <w:footnoteReference w:customMarkFollows="1" w:id="9"/>
        <w:t>1</w:t>
      </w:r>
      <w:r w:rsidRPr="00E53E52">
        <w:rPr>
          <w:rFonts w:ascii="Century Schoolbook" w:hAnsi="Century Schoolbook" w:cs="Times New Roman"/>
        </w:rPr>
        <w:t xml:space="preserve"> While I do not decide </w:t>
      </w:r>
      <w:r w:rsidRPr="00E53E52">
        <w:rPr>
          <w:rFonts w:ascii="Century Schoolbook" w:hAnsi="Century Schoolbook" w:cs="Times New Roman"/>
        </w:rPr>
        <w:lastRenderedPageBreak/>
        <w:t>that violence inflicted by non-governmental actors may never serve as the basis for an asylum or withholding application based on membership in a particular social group, in practice such claims are unlikely to satisfy the statutory grounds for proving group persecution that the government is unable or unwilling to address. The mere fact that a country may have problems effectively policing certain crimes—such as domestic violence or gang violence—or that certain populations are more likely to be victims of crime, cannot itself establish an asylum claim.</w:t>
      </w:r>
    </w:p>
    <w:p w14:paraId="1A2C414B" w14:textId="77777777" w:rsidR="00635EA9" w:rsidRPr="00E53E52" w:rsidRDefault="00635EA9" w:rsidP="00635EA9">
      <w:pPr>
        <w:keepNext/>
        <w:widowControl w:val="0"/>
        <w:autoSpaceDE w:val="0"/>
        <w:autoSpaceDN w:val="0"/>
        <w:adjustRightInd w:val="0"/>
        <w:spacing w:after="120" w:line="240" w:lineRule="auto"/>
        <w:jc w:val="center"/>
        <w:rPr>
          <w:rFonts w:ascii="Century Schoolbook" w:hAnsi="Century Schoolbook" w:cs="Times New Roman"/>
        </w:rPr>
      </w:pPr>
      <w:r w:rsidRPr="00E53E52">
        <w:rPr>
          <w:rFonts w:ascii="Century Schoolbook" w:hAnsi="Century Schoolbook" w:cs="Times New Roman"/>
        </w:rPr>
        <w:t>I.</w:t>
      </w:r>
    </w:p>
    <w:p w14:paraId="2ED199B6"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 xml:space="preserve">The respondent, a native and citizen of El Salvador, entered the United States illegally and was apprehended by U.S. Customs and Border Protection agents in July 2014. After being placed in removal proceedings, the respondent filed an application for asylum and withholding of removal under </w:t>
      </w:r>
      <w:bookmarkStart w:id="82" w:name="co_pp_sp_1650_321_1"/>
      <w:bookmarkEnd w:id="82"/>
      <w:r w:rsidRPr="00E53E52">
        <w:rPr>
          <w:rFonts w:ascii="Century Schoolbook" w:hAnsi="Century Schoolbook" w:cs="Times New Roman"/>
        </w:rPr>
        <w:t>the INA, §§ 208, 241(b)(3), and for withholding of removal under the regulations implementing the United Nations Convention Against Torture.</w:t>
      </w:r>
    </w:p>
    <w:p w14:paraId="3A02AF30"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 xml:space="preserve">The respondent claimed that she was eligible for asylum because she was persecuted on account of her membership in the purported particular social group of “El Salvadoran women who are unable to leave their domestic relationships where they have children in common” with their partners. The respondent asserted that her ex-husband, with whom she shares three children, repeatedly abused her physically, emotionally, and sexually during and after their marriage. </w:t>
      </w:r>
    </w:p>
    <w:p w14:paraId="140796A3"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In December 2015, the immigration judge denied all relief and ordered the respondent removed to El Salvador. * * * </w:t>
      </w:r>
    </w:p>
    <w:p w14:paraId="022AA8A9"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 xml:space="preserve">In December 2016, the Board reversed and remanded with an order to grant the respondent asylum after the completion of background checks. The Board found the immigration judge’s adverse credibility determinations clearly erroneous. The Board further concluded that the respondent’s particular social group was substantially similar to “married women in Guatemala who are unable to leave their relationship,” which the Board had recognized in </w:t>
      </w:r>
      <w:r w:rsidRPr="00E53E52">
        <w:rPr>
          <w:rFonts w:ascii="Century Schoolbook" w:hAnsi="Century Schoolbook" w:cs="Times New Roman"/>
          <w:i/>
          <w:iCs/>
        </w:rPr>
        <w:t>Matter of A-R-C-G-,</w:t>
      </w:r>
      <w:r w:rsidRPr="00E53E52">
        <w:rPr>
          <w:rFonts w:ascii="Century Schoolbook" w:hAnsi="Century Schoolbook" w:cs="Times New Roman"/>
        </w:rPr>
        <w:t xml:space="preserve"> 26 I&amp;N Dec. at 390. Moreover, the Board held that the immigration judge clearly erred in finding that the respondent could leave her ex-husband, and that the respondent established that her ex-husband persecuted her because of her status as a Salvadoran woman unable to leave her domestic relationship. Finally, the Board determined that the El Salvadoran government was unwilling or unable to protect the respondent.</w:t>
      </w:r>
    </w:p>
    <w:p w14:paraId="39950CC6" w14:textId="77777777" w:rsidR="00635EA9" w:rsidRPr="00E53E52" w:rsidRDefault="00635EA9" w:rsidP="00635EA9">
      <w:pPr>
        <w:pStyle w:val="BodyText"/>
        <w:widowControl/>
        <w:spacing w:after="0"/>
        <w:ind w:firstLine="0"/>
        <w:jc w:val="center"/>
        <w:rPr>
          <w:rFonts w:ascii="Century Schoolbook" w:hAnsi="Century Schoolbook" w:cs="Times New Roman"/>
        </w:rPr>
      </w:pPr>
      <w:r w:rsidRPr="00E53E52">
        <w:rPr>
          <w:rFonts w:ascii="Century Schoolbook" w:hAnsi="Century Schoolbook" w:cs="Times New Roman"/>
        </w:rPr>
        <w:t>* * *</w:t>
      </w:r>
    </w:p>
    <w:p w14:paraId="2617D64F" w14:textId="77777777" w:rsidR="00635EA9" w:rsidRPr="00E53E52" w:rsidRDefault="00635EA9" w:rsidP="00635EA9">
      <w:pPr>
        <w:pStyle w:val="BodyText"/>
        <w:widowControl/>
        <w:spacing w:after="120"/>
        <w:ind w:firstLine="720"/>
        <w:rPr>
          <w:rFonts w:ascii="Century Schoolbook" w:hAnsi="Century Schoolbook" w:cs="Times New Roman"/>
        </w:rPr>
      </w:pPr>
      <w:r w:rsidRPr="00E53E52">
        <w:rPr>
          <w:rFonts w:ascii="Century Schoolbook" w:hAnsi="Century Schoolbook" w:cs="Times New Roman"/>
        </w:rPr>
        <w:t>On March 7, 2018, * * * I directed the Board to refer this matter to me for my review. I invited the parties and any interested amici to submit briefs on the following question:</w:t>
      </w:r>
    </w:p>
    <w:p w14:paraId="7B855F06" w14:textId="77777777" w:rsidR="00635EA9" w:rsidRPr="00E53E52" w:rsidRDefault="00635EA9" w:rsidP="00635EA9">
      <w:pPr>
        <w:pStyle w:val="BodyText"/>
        <w:widowControl/>
        <w:spacing w:after="120"/>
        <w:ind w:left="432" w:right="432" w:firstLine="0"/>
        <w:rPr>
          <w:rFonts w:ascii="Century Schoolbook" w:hAnsi="Century Schoolbook" w:cs="Times New Roman"/>
        </w:rPr>
      </w:pPr>
      <w:r w:rsidRPr="00E53E52">
        <w:rPr>
          <w:rFonts w:ascii="Century Schoolbook" w:hAnsi="Century Schoolbook" w:cs="Times New Roman"/>
        </w:rPr>
        <w:t>Whether, and under what circumstances, being a victim of private criminal activity constitutes a cognizable “particular social group” for purposes of an application for asylum or withholding of removal.</w:t>
      </w:r>
    </w:p>
    <w:p w14:paraId="469B7093" w14:textId="77777777" w:rsidR="00635EA9" w:rsidRPr="00E53E52" w:rsidRDefault="00635EA9" w:rsidP="00635EA9">
      <w:pPr>
        <w:pStyle w:val="BodyText"/>
        <w:widowControl/>
        <w:spacing w:after="0"/>
        <w:ind w:firstLine="0"/>
        <w:jc w:val="center"/>
        <w:rPr>
          <w:rFonts w:ascii="Century Schoolbook" w:hAnsi="Century Schoolbook" w:cs="Times New Roman"/>
        </w:rPr>
      </w:pPr>
      <w:r w:rsidRPr="00E53E52">
        <w:rPr>
          <w:rFonts w:ascii="Century Schoolbook" w:hAnsi="Century Schoolbook" w:cs="Times New Roman"/>
        </w:rPr>
        <w:t>* * *</w:t>
      </w:r>
    </w:p>
    <w:p w14:paraId="543A99EF" w14:textId="77777777" w:rsidR="00635EA9" w:rsidRPr="00E53E52" w:rsidRDefault="00635EA9" w:rsidP="00635EA9">
      <w:pPr>
        <w:keepNext/>
        <w:widowControl w:val="0"/>
        <w:autoSpaceDE w:val="0"/>
        <w:autoSpaceDN w:val="0"/>
        <w:adjustRightInd w:val="0"/>
        <w:spacing w:after="120" w:line="240" w:lineRule="auto"/>
        <w:jc w:val="center"/>
        <w:rPr>
          <w:rFonts w:ascii="Century Schoolbook" w:hAnsi="Century Schoolbook" w:cs="Times New Roman"/>
        </w:rPr>
      </w:pPr>
      <w:r w:rsidRPr="00E53E52">
        <w:rPr>
          <w:rFonts w:ascii="Century Schoolbook" w:hAnsi="Century Schoolbook" w:cs="Times New Roman"/>
        </w:rPr>
        <w:lastRenderedPageBreak/>
        <w:t>III.</w:t>
      </w:r>
    </w:p>
    <w:p w14:paraId="67303A31" w14:textId="77777777" w:rsidR="00635EA9" w:rsidRPr="00E53E52" w:rsidRDefault="00635EA9" w:rsidP="00635EA9">
      <w:pPr>
        <w:pStyle w:val="BodyText"/>
        <w:widowControl/>
        <w:spacing w:after="0"/>
        <w:ind w:firstLine="0"/>
        <w:jc w:val="center"/>
        <w:rPr>
          <w:rFonts w:ascii="Century Schoolbook" w:hAnsi="Century Schoolbook" w:cs="Times New Roman"/>
        </w:rPr>
      </w:pPr>
      <w:r w:rsidRPr="00E53E52">
        <w:rPr>
          <w:rFonts w:ascii="Century Schoolbook" w:hAnsi="Century Schoolbook" w:cs="Times New Roman"/>
        </w:rPr>
        <w:t>* * *</w:t>
      </w:r>
    </w:p>
    <w:p w14:paraId="403557DF" w14:textId="77777777" w:rsidR="00635EA9" w:rsidRPr="00E53E52" w:rsidRDefault="00635EA9" w:rsidP="00635EA9">
      <w:pPr>
        <w:keepNext/>
        <w:widowControl w:val="0"/>
        <w:autoSpaceDE w:val="0"/>
        <w:autoSpaceDN w:val="0"/>
        <w:adjustRightInd w:val="0"/>
        <w:spacing w:after="120" w:line="240" w:lineRule="auto"/>
        <w:jc w:val="center"/>
        <w:rPr>
          <w:rFonts w:ascii="Century Schoolbook" w:hAnsi="Century Schoolbook" w:cs="Times New Roman"/>
        </w:rPr>
      </w:pPr>
      <w:r w:rsidRPr="00E53E52">
        <w:rPr>
          <w:rFonts w:ascii="Century Schoolbook" w:hAnsi="Century Schoolbook" w:cs="Times New Roman"/>
        </w:rPr>
        <w:t>A.</w:t>
      </w:r>
    </w:p>
    <w:p w14:paraId="5978D955"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 * * Here, the respondent claims that she is eligible for asylum because of persecution she suffered on account of her purported membership in a particular social group—“El Salvadoran women who are unable to leave their domestic relationships where they have children in common” with their partners.</w:t>
      </w:r>
    </w:p>
    <w:p w14:paraId="0C366B1F" w14:textId="77777777" w:rsidR="00635EA9" w:rsidRPr="00E53E52" w:rsidRDefault="00635EA9" w:rsidP="00635EA9">
      <w:pPr>
        <w:pStyle w:val="BodyText"/>
        <w:widowControl/>
        <w:spacing w:after="120"/>
        <w:ind w:firstLine="720"/>
        <w:rPr>
          <w:rFonts w:ascii="Century Schoolbook" w:hAnsi="Century Schoolbook" w:cs="Times New Roman"/>
        </w:rPr>
      </w:pPr>
      <w:r w:rsidRPr="00E53E52">
        <w:rPr>
          <w:rFonts w:ascii="Century Schoolbook" w:hAnsi="Century Schoolbook" w:cs="Times New Roman"/>
        </w:rPr>
        <w:t>As the Board and the federal courts have repeatedly recognized, the phrase “membership in a particular social group” is ambiguous. * * *</w:t>
      </w:r>
    </w:p>
    <w:p w14:paraId="1EB8448D"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 xml:space="preserve">The Attorney General has primary responsibility for construing ambiguous provisions in the immigration laws. * * * The Attorney General’s reasonable construction of an ambiguous term in the Act, such as “membership in a particular social group,” is entitled to deference. </w:t>
      </w:r>
      <w:bookmarkStart w:id="83" w:name="_Hlk520293171"/>
      <w:r w:rsidRPr="00E53E52">
        <w:rPr>
          <w:rFonts w:ascii="Century Schoolbook" w:hAnsi="Century Schoolbook" w:cs="Times New Roman"/>
          <w:i/>
          <w:iCs/>
        </w:rPr>
        <w:t>See Nat’l Cable &amp; Telecomms. Ass’n v. Brand X Internet Servs</w:t>
      </w:r>
      <w:r w:rsidRPr="00E53E52">
        <w:rPr>
          <w:rFonts w:ascii="Century Schoolbook" w:hAnsi="Century Schoolbook" w:cs="Times New Roman"/>
        </w:rPr>
        <w:t xml:space="preserve">., 545 U.S. 967, 980 (2005); </w:t>
      </w:r>
      <w:bookmarkStart w:id="84" w:name="_Hlk520293273"/>
      <w:bookmarkEnd w:id="83"/>
      <w:r w:rsidRPr="00E53E52">
        <w:rPr>
          <w:rFonts w:ascii="Century Schoolbook" w:hAnsi="Century Schoolbook" w:cs="Times New Roman"/>
          <w:i/>
          <w:iCs/>
        </w:rPr>
        <w:t>Chevron, U.S.A., Inc. v. Natural Res. Def. Council, Inc.</w:t>
      </w:r>
      <w:r w:rsidRPr="00E53E52">
        <w:rPr>
          <w:rFonts w:ascii="Century Schoolbook" w:hAnsi="Century Schoolbook" w:cs="Times New Roman"/>
        </w:rPr>
        <w:t xml:space="preserve">, 467 U.S. 837, 844 (1984). </w:t>
      </w:r>
      <w:bookmarkEnd w:id="84"/>
      <w:r w:rsidRPr="00E53E52">
        <w:rPr>
          <w:rFonts w:ascii="Century Schoolbook" w:hAnsi="Century Schoolbook" w:cs="Times New Roman"/>
        </w:rPr>
        <w:t>Thus, every court of appeals to have considered the issue has recognized that the INA’s reference to the term ““particular social group” is inherently ambiguous and has deferred to decisions of the Board interpreting that phrase.</w:t>
      </w:r>
      <w:bookmarkStart w:id="85" w:name="co_footnoteReference_FN_F6_ID0EEKAG_1"/>
      <w:bookmarkEnd w:id="85"/>
    </w:p>
    <w:p w14:paraId="1E2AA938"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 xml:space="preserve">* * * “A court’s prior judicial construction of a statute trumps an agency construction otherwise entitled to </w:t>
      </w:r>
      <w:r w:rsidRPr="00E53E52">
        <w:rPr>
          <w:rFonts w:ascii="Century Schoolbook" w:hAnsi="Century Schoolbook" w:cs="Times New Roman"/>
          <w:i/>
          <w:iCs/>
        </w:rPr>
        <w:t>Chevron</w:t>
      </w:r>
      <w:r w:rsidRPr="00E53E52">
        <w:rPr>
          <w:rFonts w:ascii="Century Schoolbook" w:hAnsi="Century Schoolbook" w:cs="Times New Roman"/>
        </w:rPr>
        <w:t xml:space="preserve"> deference only if the prior court decision holds that its construction follows from the unambiguous terms of the statute and thus leaves no room for agency discretion.” </w:t>
      </w:r>
      <w:r w:rsidRPr="00E53E52">
        <w:rPr>
          <w:rFonts w:ascii="Century Schoolbook" w:hAnsi="Century Schoolbook" w:cs="Times New Roman"/>
          <w:i/>
          <w:iCs/>
        </w:rPr>
        <w:t>Brand X</w:t>
      </w:r>
      <w:r w:rsidRPr="00E53E52">
        <w:rPr>
          <w:rFonts w:ascii="Century Schoolbook" w:hAnsi="Century Schoolbook" w:cs="Times New Roman"/>
        </w:rPr>
        <w:t>, 545 U.S. at 982.</w:t>
      </w:r>
    </w:p>
    <w:p w14:paraId="65AA9492" w14:textId="77777777" w:rsidR="00635EA9" w:rsidRPr="00E53E52" w:rsidRDefault="00635EA9" w:rsidP="00635EA9">
      <w:pPr>
        <w:keepNext/>
        <w:widowControl w:val="0"/>
        <w:autoSpaceDE w:val="0"/>
        <w:autoSpaceDN w:val="0"/>
        <w:adjustRightInd w:val="0"/>
        <w:spacing w:after="120" w:line="240" w:lineRule="auto"/>
        <w:jc w:val="center"/>
        <w:rPr>
          <w:rFonts w:ascii="Century Schoolbook" w:hAnsi="Century Schoolbook" w:cs="Times New Roman"/>
        </w:rPr>
      </w:pPr>
      <w:r w:rsidRPr="00E53E52">
        <w:rPr>
          <w:rFonts w:ascii="Century Schoolbook" w:hAnsi="Century Schoolbook" w:cs="Times New Roman"/>
        </w:rPr>
        <w:t>B.</w:t>
      </w:r>
    </w:p>
    <w:p w14:paraId="5C128CF7"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 xml:space="preserve">In a number of opinions spanning several decades, the Board has articulated and refined the standard for persecution on account of membership in a “particular social group” so that this category is not boundless. The Board first interpreted the term in </w:t>
      </w:r>
      <w:r w:rsidRPr="00E53E52">
        <w:rPr>
          <w:rFonts w:ascii="Century Schoolbook" w:hAnsi="Century Schoolbook" w:cs="Times New Roman"/>
          <w:i/>
          <w:iCs/>
        </w:rPr>
        <w:t>Matter of Acosta</w:t>
      </w:r>
      <w:r w:rsidRPr="00E53E52">
        <w:rPr>
          <w:rFonts w:ascii="Century Schoolbook" w:hAnsi="Century Schoolbook" w:cs="Times New Roman"/>
        </w:rPr>
        <w:t xml:space="preserve">, 19 I&amp;N Dec. at 233. Applying the canon of </w:t>
      </w:r>
      <w:r w:rsidRPr="00E53E52">
        <w:rPr>
          <w:rFonts w:ascii="Century Schoolbook" w:hAnsi="Century Schoolbook" w:cs="Times New Roman"/>
          <w:i/>
          <w:iCs/>
        </w:rPr>
        <w:t>ejusdem generis</w:t>
      </w:r>
      <w:r w:rsidRPr="00E53E52">
        <w:rPr>
          <w:rFonts w:ascii="Century Schoolbook" w:hAnsi="Century Schoolbook" w:cs="Times New Roman"/>
        </w:rPr>
        <w:t xml:space="preserve">, the Board concluded that the phrase “particular social group” should be construed in a manner consistent with the other grounds for persecution in the statute’s definition of refugee: race, religion, nationality, and political opinion. Noting that each of these terms describes “a characteristic that either is beyond the power </w:t>
      </w:r>
      <w:bookmarkStart w:id="86" w:name="co_pp_sp_1650_328_1"/>
      <w:bookmarkEnd w:id="86"/>
      <w:r w:rsidRPr="00E53E52">
        <w:rPr>
          <w:rFonts w:ascii="Century Schoolbook" w:hAnsi="Century Schoolbook" w:cs="Times New Roman"/>
        </w:rPr>
        <w:t xml:space="preserve">of an individual to change or is so fundamental to individual identity or conscience that it ought not be required to be changed,” the Board concluded that persecution on account of membership in a particular social group must similarly mean “persecution that is directed toward an individual who is a member of a group of persons all of whom share a common, immutable characteristic.” The Board stated that this definition “preserve[d] the concept that refuge is restricted to individuals who are either unable by their own actions, or as a matter of conscience should not be required, to avoid persecution.” </w:t>
      </w:r>
    </w:p>
    <w:p w14:paraId="4EB6B719"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 xml:space="preserve">In 1999, the Board, sitting </w:t>
      </w:r>
      <w:r w:rsidRPr="00E53E52">
        <w:rPr>
          <w:rFonts w:ascii="Century Schoolbook" w:hAnsi="Century Schoolbook" w:cs="Times New Roman"/>
          <w:i/>
          <w:iCs/>
        </w:rPr>
        <w:t>en banc</w:t>
      </w:r>
      <w:r w:rsidRPr="00E53E52">
        <w:rPr>
          <w:rFonts w:ascii="Century Schoolbook" w:hAnsi="Century Schoolbook" w:cs="Times New Roman"/>
        </w:rPr>
        <w:t xml:space="preserve">, considered for the first time “whether the repeated spouse abuse inflicted on the respondent makes her eligible for asylum as an alien who has been persecuted on account of her membership in a particular social group.” </w:t>
      </w:r>
      <w:r w:rsidRPr="00E53E52">
        <w:rPr>
          <w:rFonts w:ascii="Century Schoolbook" w:hAnsi="Century Schoolbook" w:cs="Times New Roman"/>
          <w:i/>
          <w:iCs/>
        </w:rPr>
        <w:t>R-A-</w:t>
      </w:r>
      <w:r w:rsidRPr="00E53E52">
        <w:rPr>
          <w:rFonts w:ascii="Century Schoolbook" w:hAnsi="Century Schoolbook" w:cs="Times New Roman"/>
        </w:rPr>
        <w:t xml:space="preserve">, 22 I&amp;N </w:t>
      </w:r>
      <w:r w:rsidRPr="00E53E52">
        <w:rPr>
          <w:rFonts w:ascii="Century Schoolbook" w:hAnsi="Century Schoolbook" w:cs="Times New Roman"/>
        </w:rPr>
        <w:lastRenderedPageBreak/>
        <w:t>Dec. at 907. In a thorough, well-reasoned opinion, the Board first looked to the plain language of the INA to determine whether Congress intended the Act to provide asylum to battered spouses who are leaving marriages to aliens having no ties to the United States. Finding no definitive answer in the language of the statute, the Board “look[ed] to the way in which the other grounds in the statute’s ‘on account of’ clause operate.” Following that “significant guidance,” the Board concluded that R-A- was not eligible for asylum for two reasons. First, her claimed social group—“Guatemalan women who have been involved intimately with Guatemalan male companions, who believe that women are to live under male domination”—did not qualify as a “particular social group” under the INA. And second, even if it did qualify, she failed to show a sufficient nexus between her husband’s abuse and her membership in that social group.</w:t>
      </w:r>
    </w:p>
    <w:p w14:paraId="529B0BFA"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The Board first observed that the purported social group appeared “to have been defined principally, if not exclusively, for purposes of this asylum case, and without regard to the question of whether anyone in Guatemala perceives this group to exist in any form whatsoever.” * * * The Board reasoned that for a social group to be viable for asylum purposes, there must be some showing of how the immutable characteristic shared by the group is understood in the alien’s home country so that the Board can “understand that the potential persecutors in fact see persons sharing the characteristic as warranting suppression or the infliction of harm.”</w:t>
      </w:r>
    </w:p>
    <w:p w14:paraId="2127641E" w14:textId="77777777" w:rsidR="00635EA9" w:rsidRPr="00E53E52" w:rsidRDefault="00635EA9" w:rsidP="00635EA9">
      <w:pPr>
        <w:pStyle w:val="BodyText"/>
        <w:widowControl/>
        <w:spacing w:after="120"/>
        <w:ind w:firstLine="720"/>
        <w:rPr>
          <w:rFonts w:ascii="Century Schoolbook" w:hAnsi="Century Schoolbook" w:cs="Times New Roman"/>
        </w:rPr>
      </w:pPr>
      <w:r w:rsidRPr="00E53E52">
        <w:rPr>
          <w:rFonts w:ascii="Century Schoolbook" w:hAnsi="Century Schoolbook" w:cs="Times New Roman"/>
        </w:rPr>
        <w:t xml:space="preserve">The Board held that a “particular social group” should be recognized and understood to be a societal faction or a recognized segment of the population </w:t>
      </w:r>
      <w:bookmarkStart w:id="87" w:name="co_pp_sp_1650_329_1"/>
      <w:bookmarkEnd w:id="87"/>
      <w:r w:rsidRPr="00E53E52">
        <w:rPr>
          <w:rFonts w:ascii="Century Schoolbook" w:hAnsi="Century Schoolbook" w:cs="Times New Roman"/>
        </w:rPr>
        <w:t>in the alien’s society. The Board found that R-A- had “shown neither that the victims of spouse abuse view themselves as members of this group, nor, most importantly, that their male oppressors see their victimized companions as part of this group.” * * * </w:t>
      </w:r>
    </w:p>
    <w:p w14:paraId="7F3894C2"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In addition to holding that R-A-</w:t>
      </w:r>
      <w:r w:rsidRPr="00E53E52">
        <w:rPr>
          <w:rFonts w:ascii="Century Schoolbook" w:hAnsi="Century Schoolbook" w:cs="Times New Roman"/>
          <w:i/>
          <w:iCs/>
        </w:rPr>
        <w:t>’s</w:t>
      </w:r>
      <w:r w:rsidRPr="00E53E52">
        <w:rPr>
          <w:rFonts w:ascii="Century Schoolbook" w:hAnsi="Century Schoolbook" w:cs="Times New Roman"/>
        </w:rPr>
        <w:t xml:space="preserve"> proposed group did not qualify as a “particular social group,” the Board also held that she had not shown the persecution was “on account of” her membership in the group. Even if the Board were to accept the respondent’s proposed social group, she “has not established that her husband has targeted and harmed [R-A</w:t>
      </w:r>
      <w:r w:rsidRPr="00E53E52">
        <w:rPr>
          <w:rFonts w:ascii="Century Schoolbook" w:hAnsi="Century Schoolbook" w:cs="Times New Roman"/>
          <w:i/>
          <w:iCs/>
        </w:rPr>
        <w:t>-</w:t>
      </w:r>
      <w:r w:rsidRPr="00E53E52">
        <w:rPr>
          <w:rFonts w:ascii="Century Schoolbook" w:hAnsi="Century Schoolbook" w:cs="Times New Roman"/>
        </w:rPr>
        <w:t xml:space="preserve">] because he perceived her to be a member of this particular social group.” R-A-’s husband targeted her “because she was his wife, not because she was a member of some broader collection of women, however defined, whom he believed warranted the infliction of harm.” </w:t>
      </w:r>
    </w:p>
    <w:p w14:paraId="38AFC9B8"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 xml:space="preserve">On January 19, 2001, Attorney General Reno summarily vacated </w:t>
      </w:r>
      <w:r w:rsidRPr="00E53E52">
        <w:rPr>
          <w:rFonts w:ascii="Century Schoolbook" w:hAnsi="Century Schoolbook" w:cs="Times New Roman"/>
          <w:i/>
          <w:iCs/>
        </w:rPr>
        <w:t>R-A-</w:t>
      </w:r>
      <w:r w:rsidRPr="00E53E52">
        <w:rPr>
          <w:rFonts w:ascii="Century Schoolbook" w:hAnsi="Century Schoolbook" w:cs="Times New Roman"/>
        </w:rPr>
        <w:t xml:space="preserve"> and directed the Board to stay consideration of the case pending final publication of a proposed rule offering guidance on the definitions of “persecution” and “membership in a particular social group” and what it means to be “on account of” a protected characteristic. No final rule ever issued, however. In September 2008, Attorney General Mukasey lifted the stay and directed the Board to reconsider the case in light of intervening Board and judicial decisions. In December 2009, before the Board issued an opinion, R-A- and DHS jointly stipulated that she was eligible for asylum, resolving the case.</w:t>
      </w:r>
    </w:p>
    <w:p w14:paraId="4ADA5968" w14:textId="77777777" w:rsidR="00635EA9" w:rsidRPr="00E53E52" w:rsidRDefault="00635EA9" w:rsidP="00635EA9">
      <w:pPr>
        <w:pStyle w:val="BodyText"/>
        <w:widowControl/>
        <w:spacing w:after="120"/>
        <w:ind w:firstLine="720"/>
        <w:rPr>
          <w:rFonts w:ascii="Century Schoolbook" w:hAnsi="Century Schoolbook" w:cs="Times New Roman"/>
        </w:rPr>
      </w:pPr>
      <w:r w:rsidRPr="00E53E52">
        <w:rPr>
          <w:rFonts w:ascii="Century Schoolbook" w:hAnsi="Century Schoolbook" w:cs="Times New Roman"/>
        </w:rPr>
        <w:lastRenderedPageBreak/>
        <w:t xml:space="preserve">Despite its vacatur, both the Board and federal courts have continued to rely upon </w:t>
      </w:r>
      <w:r w:rsidRPr="00E53E52">
        <w:rPr>
          <w:rFonts w:ascii="Century Schoolbook" w:hAnsi="Century Schoolbook" w:cs="Times New Roman"/>
          <w:i/>
          <w:iCs/>
        </w:rPr>
        <w:t>R-A-</w:t>
      </w:r>
      <w:r w:rsidRPr="00E53E52">
        <w:rPr>
          <w:rFonts w:ascii="Century Schoolbook" w:hAnsi="Century Schoolbook" w:cs="Times New Roman"/>
        </w:rPr>
        <w:t>. * * *</w:t>
      </w:r>
    </w:p>
    <w:p w14:paraId="35A4C226" w14:textId="77777777" w:rsidR="00635EA9" w:rsidRPr="00E53E52" w:rsidRDefault="00635EA9" w:rsidP="00635EA9">
      <w:pPr>
        <w:pStyle w:val="BodyText"/>
        <w:widowControl/>
        <w:spacing w:after="0"/>
        <w:ind w:firstLine="0"/>
        <w:jc w:val="center"/>
        <w:rPr>
          <w:rFonts w:ascii="Century Schoolbook" w:hAnsi="Century Schoolbook" w:cs="Times New Roman"/>
        </w:rPr>
      </w:pPr>
      <w:r w:rsidRPr="00E53E52">
        <w:rPr>
          <w:rFonts w:ascii="Century Schoolbook" w:hAnsi="Century Schoolbook" w:cs="Times New Roman"/>
        </w:rPr>
        <w:t>* * *</w:t>
      </w:r>
    </w:p>
    <w:p w14:paraId="0CB8FDB4"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 xml:space="preserve">In 2014, the Board issued a pair of complementary precedential opinions, </w:t>
      </w:r>
      <w:r w:rsidRPr="00E53E52">
        <w:rPr>
          <w:rFonts w:ascii="Century Schoolbook" w:hAnsi="Century Schoolbook" w:cs="Times New Roman"/>
          <w:i/>
          <w:iCs/>
        </w:rPr>
        <w:t>M-E-V-G-</w:t>
      </w:r>
      <w:r w:rsidRPr="00E53E52">
        <w:rPr>
          <w:rFonts w:ascii="Century Schoolbook" w:hAnsi="Century Schoolbook" w:cs="Times New Roman"/>
        </w:rPr>
        <w:t xml:space="preserve"> and </w:t>
      </w:r>
      <w:r w:rsidRPr="00E53E52">
        <w:rPr>
          <w:rFonts w:ascii="Century Schoolbook" w:hAnsi="Century Schoolbook" w:cs="Times New Roman"/>
          <w:i/>
          <w:iCs/>
        </w:rPr>
        <w:t>W-G-R-</w:t>
      </w:r>
      <w:r w:rsidRPr="00E53E52">
        <w:rPr>
          <w:rFonts w:ascii="Century Schoolbook" w:hAnsi="Century Schoolbook" w:cs="Times New Roman"/>
        </w:rPr>
        <w:t>, clarifying what is necessary to establish a particular social group. In those cases, the Board held that an asylum applicant claiming membership in a particular social group must “establish that the group is (1) composed of members who share a common immutable characteristic, (2) defined with particularity, and (3) socially distinct within the society in question.” The Board explained that those applicants also bear the burden of showing that their membership was a central reason for their persecution, and that their home government was “unable or unwilling to control” the persecutors.</w:t>
      </w:r>
    </w:p>
    <w:p w14:paraId="2FE9AA53"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 xml:space="preserve">Again echoing </w:t>
      </w:r>
      <w:r w:rsidRPr="00E53E52">
        <w:rPr>
          <w:rFonts w:ascii="Century Schoolbook" w:hAnsi="Century Schoolbook" w:cs="Times New Roman"/>
          <w:i/>
          <w:iCs/>
        </w:rPr>
        <w:t>R-A-</w:t>
      </w:r>
      <w:r w:rsidRPr="00E53E52">
        <w:rPr>
          <w:rFonts w:ascii="Century Schoolbook" w:hAnsi="Century Schoolbook" w:cs="Times New Roman"/>
        </w:rPr>
        <w:t>, the Board explained that the requirement that a group be socially distinct “considers whether those with a common immutable characteristic are set apart, or distinct, from other persons within the society in some significant way. In other words, if the common immutable characteristic were known, those with the characteristic in the society in question would be meaningfully distinguished from those who do not have it.” * * * To be socially distinct, a particular social group “must be perceived as a group by society.”</w:t>
      </w:r>
    </w:p>
    <w:p w14:paraId="3237F404"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i/>
          <w:iCs/>
        </w:rPr>
        <w:t>M-E-V-G-</w:t>
      </w:r>
      <w:r w:rsidRPr="00E53E52">
        <w:rPr>
          <w:rFonts w:ascii="Century Schoolbook" w:hAnsi="Century Schoolbook" w:cs="Times New Roman"/>
        </w:rPr>
        <w:t xml:space="preserve"> also clarified that “a group’s recognition for asylum purposes is determined by the perception of the society in question, rather than by the perception of the persecutor.” The Board explained that to do otherwise would create two significant problems. First, it would conflate the inquiry into whether a “particular social group” is cognizable under the INA with the separate and distinct requirement that the persecution be “on account of” membership. Second, defining a particular social group from the perspective of the persecutor would contradict the Board’s prior holding that a social group may not be defined exclusively by the fact that its members </w:t>
      </w:r>
      <w:bookmarkStart w:id="88" w:name="co_pp_sp_1650_331_1"/>
      <w:bookmarkEnd w:id="88"/>
      <w:r w:rsidRPr="00E53E52">
        <w:rPr>
          <w:rFonts w:ascii="Century Schoolbook" w:hAnsi="Century Schoolbook" w:cs="Times New Roman"/>
        </w:rPr>
        <w:t xml:space="preserve">have been subjected to harm. </w:t>
      </w:r>
    </w:p>
    <w:p w14:paraId="27990A55" w14:textId="77777777" w:rsidR="00635EA9" w:rsidRPr="00E53E52" w:rsidRDefault="00635EA9" w:rsidP="00635EA9">
      <w:pPr>
        <w:pStyle w:val="BodyText"/>
        <w:widowControl/>
        <w:spacing w:after="0"/>
        <w:ind w:firstLine="0"/>
        <w:jc w:val="center"/>
        <w:rPr>
          <w:rFonts w:ascii="Century Schoolbook" w:hAnsi="Century Schoolbook" w:cs="Times New Roman"/>
        </w:rPr>
      </w:pPr>
      <w:r w:rsidRPr="00E53E52">
        <w:rPr>
          <w:rFonts w:ascii="Century Schoolbook" w:hAnsi="Century Schoolbook" w:cs="Times New Roman"/>
        </w:rPr>
        <w:t>* * * </w:t>
      </w:r>
    </w:p>
    <w:p w14:paraId="352E204B" w14:textId="77777777" w:rsidR="00635EA9" w:rsidRPr="00E53E52" w:rsidRDefault="00635EA9" w:rsidP="00635EA9">
      <w:pPr>
        <w:keepNext/>
        <w:widowControl w:val="0"/>
        <w:autoSpaceDE w:val="0"/>
        <w:autoSpaceDN w:val="0"/>
        <w:adjustRightInd w:val="0"/>
        <w:spacing w:after="120" w:line="240" w:lineRule="auto"/>
        <w:jc w:val="center"/>
        <w:rPr>
          <w:rFonts w:ascii="Century Schoolbook" w:hAnsi="Century Schoolbook" w:cs="Times New Roman"/>
        </w:rPr>
      </w:pPr>
      <w:r w:rsidRPr="00E53E52">
        <w:rPr>
          <w:rFonts w:ascii="Century Schoolbook" w:hAnsi="Century Schoolbook" w:cs="Times New Roman"/>
        </w:rPr>
        <w:t>C.</w:t>
      </w:r>
    </w:p>
    <w:p w14:paraId="4599A6AD" w14:textId="77777777" w:rsidR="00635EA9" w:rsidRPr="00E53E52" w:rsidRDefault="00635EA9" w:rsidP="00635EA9">
      <w:pPr>
        <w:pStyle w:val="BodyText"/>
        <w:widowControl/>
        <w:spacing w:after="120"/>
        <w:ind w:firstLine="720"/>
        <w:rPr>
          <w:rFonts w:ascii="Century Schoolbook" w:hAnsi="Century Schoolbook" w:cs="Times New Roman"/>
        </w:rPr>
      </w:pPr>
      <w:r w:rsidRPr="00E53E52">
        <w:rPr>
          <w:rFonts w:ascii="Century Schoolbook" w:hAnsi="Century Schoolbook" w:cs="Times New Roman"/>
        </w:rPr>
        <w:t xml:space="preserve">Although the Board has articulated a consistent understanding of the term “particular social group,” not all of its opinions have properly applied that framework. Shortly after </w:t>
      </w:r>
      <w:r w:rsidRPr="00E53E52">
        <w:rPr>
          <w:rFonts w:ascii="Century Schoolbook" w:hAnsi="Century Schoolbook" w:cs="Times New Roman"/>
          <w:i/>
          <w:iCs/>
        </w:rPr>
        <w:t>M-E-V-G-</w:t>
      </w:r>
      <w:r w:rsidRPr="00E53E52">
        <w:rPr>
          <w:rFonts w:ascii="Century Schoolbook" w:hAnsi="Century Schoolbook" w:cs="Times New Roman"/>
        </w:rPr>
        <w:t xml:space="preserve"> and </w:t>
      </w:r>
      <w:r w:rsidRPr="00E53E52">
        <w:rPr>
          <w:rFonts w:ascii="Century Schoolbook" w:hAnsi="Century Schoolbook" w:cs="Times New Roman"/>
          <w:i/>
          <w:iCs/>
        </w:rPr>
        <w:t>W-G-R-</w:t>
      </w:r>
      <w:r w:rsidRPr="00E53E52">
        <w:rPr>
          <w:rFonts w:ascii="Century Schoolbook" w:hAnsi="Century Schoolbook" w:cs="Times New Roman"/>
        </w:rPr>
        <w:t xml:space="preserve">, the Board decided </w:t>
      </w:r>
      <w:r w:rsidRPr="00E53E52">
        <w:rPr>
          <w:rFonts w:ascii="Century Schoolbook" w:hAnsi="Century Schoolbook" w:cs="Times New Roman"/>
          <w:i/>
          <w:iCs/>
        </w:rPr>
        <w:t>A-R-C-G-</w:t>
      </w:r>
      <w:r w:rsidRPr="00E53E52">
        <w:rPr>
          <w:rFonts w:ascii="Century Schoolbook" w:hAnsi="Century Schoolbook" w:cs="Times New Roman"/>
        </w:rPr>
        <w:t>, 26 I&amp;N Dec. 388, which held that “married women in Guatemala who are unable to leave their relationship” could constitute a particular social group. Importantly, the Board based its decision on DHS’s concessions that: (1) A-R-C-G- suffered harm rising to the level of past persecution; (2) A-R-C-G-’s persecution was on account of her membership in a particular social group; and (3) A-R-C-G-’s particular social group was cognizable under the INA. * * *</w:t>
      </w:r>
    </w:p>
    <w:p w14:paraId="329C14FD"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 xml:space="preserve">Because of DHS’s multiple concessions, the Board performed only a cursory analysis of the three factors required to establish a particular social group. The Board concluded that A-R-C-G-’s purported particular social group was “composed of members who share the common immutable characteristic of gender,” and that “marital status can be an immutable characteristic where the individual is unable to leave the relationship.” With respect to </w:t>
      </w:r>
      <w:r w:rsidRPr="00E53E52">
        <w:rPr>
          <w:rFonts w:ascii="Century Schoolbook" w:hAnsi="Century Schoolbook" w:cs="Times New Roman"/>
        </w:rPr>
        <w:lastRenderedPageBreak/>
        <w:t xml:space="preserve">particularity, the Board observed that the terms defining the group—“married,” “women,” and “unable to leave the relationship”—had commonly accepted definitions within Guatemalan society. And finally, with respect to social distinction, the Board cited evidence that Guatemala has a “culture of machismo and family violence,” and that although Guatemala’s criminal laws that prohibit domestic violence, “enforcement can be problematic because the National Civilian Police often failed to respond to requests for </w:t>
      </w:r>
      <w:bookmarkStart w:id="89" w:name="co_pp_sp_1650_332_1"/>
      <w:bookmarkEnd w:id="89"/>
      <w:r w:rsidRPr="00E53E52">
        <w:rPr>
          <w:rFonts w:ascii="Century Schoolbook" w:hAnsi="Century Schoolbook" w:cs="Times New Roman"/>
        </w:rPr>
        <w:t>assistance related to domestic violence.”</w:t>
      </w:r>
    </w:p>
    <w:p w14:paraId="28DDF518" w14:textId="77777777" w:rsidR="00635EA9" w:rsidRPr="00E53E52" w:rsidRDefault="00635EA9" w:rsidP="00635EA9">
      <w:pPr>
        <w:pStyle w:val="BodyText"/>
        <w:widowControl/>
        <w:spacing w:after="120"/>
        <w:ind w:firstLine="720"/>
        <w:rPr>
          <w:rFonts w:ascii="Century Schoolbook" w:hAnsi="Century Schoolbook" w:cs="Times New Roman"/>
        </w:rPr>
      </w:pPr>
      <w:r w:rsidRPr="00E53E52">
        <w:rPr>
          <w:rFonts w:ascii="Century Schoolbook" w:hAnsi="Century Schoolbook" w:cs="Times New Roman"/>
        </w:rPr>
        <w:t xml:space="preserve">Subsequent Board decisions, including the decision certified here, have read </w:t>
      </w:r>
      <w:r w:rsidRPr="00E53E52">
        <w:rPr>
          <w:rFonts w:ascii="Century Schoolbook" w:hAnsi="Century Schoolbook" w:cs="Times New Roman"/>
          <w:i/>
          <w:iCs/>
        </w:rPr>
        <w:t>A-R-C-G-</w:t>
      </w:r>
      <w:r w:rsidRPr="00E53E52">
        <w:rPr>
          <w:rFonts w:ascii="Century Schoolbook" w:hAnsi="Century Schoolbook" w:cs="Times New Roman"/>
        </w:rPr>
        <w:t xml:space="preserve"> as categorically extending the definition of a “particular social group” to encompass most Central American domestic violence victims. Like </w:t>
      </w:r>
      <w:r w:rsidRPr="00E53E52">
        <w:rPr>
          <w:rFonts w:ascii="Century Schoolbook" w:hAnsi="Century Schoolbook" w:cs="Times New Roman"/>
          <w:i/>
          <w:iCs/>
        </w:rPr>
        <w:t>A-R-C-G-</w:t>
      </w:r>
      <w:r w:rsidRPr="00E53E52">
        <w:rPr>
          <w:rFonts w:ascii="Century Schoolbook" w:hAnsi="Century Schoolbook" w:cs="Times New Roman"/>
        </w:rPr>
        <w:t>, these ensuing decisions have not performed the detailed analysis required. * * * </w:t>
      </w:r>
    </w:p>
    <w:p w14:paraId="6610629F"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 xml:space="preserve">By contrast, several courts of appeals have expressed skepticism about </w:t>
      </w:r>
      <w:r w:rsidRPr="00E53E52">
        <w:rPr>
          <w:rFonts w:ascii="Century Schoolbook" w:hAnsi="Century Schoolbook" w:cs="Times New Roman"/>
          <w:i/>
          <w:iCs/>
        </w:rPr>
        <w:t>A-R-C-G-</w:t>
      </w:r>
      <w:r w:rsidRPr="00E53E52">
        <w:rPr>
          <w:rFonts w:ascii="Century Schoolbook" w:hAnsi="Century Schoolbook" w:cs="Times New Roman"/>
        </w:rPr>
        <w:t xml:space="preserve">. </w:t>
      </w:r>
      <w:bookmarkStart w:id="90" w:name="co_footnoteReference_FN_F7_ID0EFPBG_1"/>
      <w:bookmarkEnd w:id="90"/>
      <w:r w:rsidRPr="00E53E52">
        <w:rPr>
          <w:rFonts w:ascii="Century Schoolbook" w:hAnsi="Century Schoolbook" w:cs="Times New Roman"/>
        </w:rPr>
        <w:t>* * * </w:t>
      </w:r>
    </w:p>
    <w:p w14:paraId="1DA463DA" w14:textId="77777777" w:rsidR="00635EA9" w:rsidRPr="00E53E52" w:rsidRDefault="00635EA9" w:rsidP="00635EA9">
      <w:pPr>
        <w:keepNext/>
        <w:widowControl w:val="0"/>
        <w:autoSpaceDE w:val="0"/>
        <w:autoSpaceDN w:val="0"/>
        <w:adjustRightInd w:val="0"/>
        <w:spacing w:after="120" w:line="240" w:lineRule="auto"/>
        <w:jc w:val="center"/>
        <w:rPr>
          <w:rFonts w:ascii="Century Schoolbook" w:hAnsi="Century Schoolbook" w:cs="Times New Roman"/>
        </w:rPr>
      </w:pPr>
      <w:bookmarkStart w:id="91" w:name="co_pp_sp_1650_333_1"/>
      <w:bookmarkEnd w:id="91"/>
      <w:r w:rsidRPr="00E53E52">
        <w:rPr>
          <w:rFonts w:ascii="Century Schoolbook" w:hAnsi="Century Schoolbook" w:cs="Times New Roman"/>
        </w:rPr>
        <w:t>IV.</w:t>
      </w:r>
    </w:p>
    <w:p w14:paraId="46975FDC" w14:textId="77777777" w:rsidR="00635EA9" w:rsidRPr="00E53E52" w:rsidRDefault="00635EA9" w:rsidP="00635EA9">
      <w:pPr>
        <w:pStyle w:val="BodyText"/>
        <w:widowControl/>
        <w:spacing w:after="120"/>
        <w:ind w:firstLine="720"/>
        <w:rPr>
          <w:rFonts w:ascii="Century Schoolbook" w:hAnsi="Century Schoolbook" w:cs="Times New Roman"/>
        </w:rPr>
      </w:pPr>
      <w:r w:rsidRPr="00E53E52">
        <w:rPr>
          <w:rFonts w:ascii="Century Schoolbook" w:hAnsi="Century Schoolbook" w:cs="Times New Roman"/>
          <w:i/>
          <w:iCs/>
        </w:rPr>
        <w:t>A-R-C-G-</w:t>
      </w:r>
      <w:r w:rsidRPr="00E53E52">
        <w:rPr>
          <w:rFonts w:ascii="Century Schoolbook" w:hAnsi="Century Schoolbook" w:cs="Times New Roman"/>
        </w:rPr>
        <w:t xml:space="preserve"> was wrongly decided and should not </w:t>
      </w:r>
      <w:r w:rsidRPr="00E53E52">
        <w:rPr>
          <w:rFonts w:ascii="Century Schoolbook" w:hAnsi="Century Schoolbook"/>
        </w:rPr>
        <w:t>have</w:t>
      </w:r>
      <w:r w:rsidRPr="00E53E52">
        <w:rPr>
          <w:rFonts w:ascii="Century Schoolbook" w:hAnsi="Century Schoolbook" w:cs="Times New Roman"/>
        </w:rPr>
        <w:t xml:space="preserve"> been issued as a precedential decision. DHS conceded almost all of the legal requirements necessary for a victim of private crime to qualify for asylum based on persecution on account of membership in a particular social group.</w:t>
      </w:r>
      <w:bookmarkStart w:id="92" w:name="co_footnoteReference_FN_F8_ID0EDQBG_1"/>
      <w:bookmarkEnd w:id="92"/>
      <w:r w:rsidRPr="00E53E52">
        <w:rPr>
          <w:rFonts w:ascii="Century Schoolbook" w:hAnsi="Century Schoolbook" w:cs="Times New Roman"/>
        </w:rPr>
        <w:t xml:space="preserve"> To the extent that the Board examined the legal questions, its analysis lacked rigor and broke with the Board’s own precedents.</w:t>
      </w:r>
    </w:p>
    <w:p w14:paraId="38456792" w14:textId="77777777" w:rsidR="00635EA9" w:rsidRPr="00E53E52" w:rsidRDefault="00635EA9" w:rsidP="00635EA9">
      <w:pPr>
        <w:keepNext/>
        <w:widowControl w:val="0"/>
        <w:autoSpaceDE w:val="0"/>
        <w:autoSpaceDN w:val="0"/>
        <w:adjustRightInd w:val="0"/>
        <w:spacing w:after="120" w:line="240" w:lineRule="auto"/>
        <w:jc w:val="center"/>
        <w:rPr>
          <w:rFonts w:ascii="Century Schoolbook" w:hAnsi="Century Schoolbook" w:cs="Times New Roman"/>
        </w:rPr>
      </w:pPr>
      <w:r w:rsidRPr="00E53E52">
        <w:rPr>
          <w:rFonts w:ascii="Century Schoolbook" w:hAnsi="Century Schoolbook" w:cs="Times New Roman"/>
        </w:rPr>
        <w:t>A.</w:t>
      </w:r>
    </w:p>
    <w:p w14:paraId="59A30E0D" w14:textId="77777777" w:rsidR="00635EA9" w:rsidRPr="00E53E52" w:rsidRDefault="00635EA9" w:rsidP="00635EA9">
      <w:pPr>
        <w:pStyle w:val="BodyText"/>
        <w:widowControl/>
        <w:spacing w:after="0"/>
        <w:ind w:firstLine="0"/>
        <w:jc w:val="center"/>
        <w:rPr>
          <w:rFonts w:ascii="Century Schoolbook" w:hAnsi="Century Schoolbook" w:cs="Times New Roman"/>
        </w:rPr>
      </w:pPr>
      <w:r w:rsidRPr="00E53E52">
        <w:rPr>
          <w:rFonts w:ascii="Century Schoolbook" w:hAnsi="Century Schoolbook" w:cs="Times New Roman"/>
        </w:rPr>
        <w:t>* * *</w:t>
      </w:r>
    </w:p>
    <w:p w14:paraId="5F5EE389" w14:textId="77777777" w:rsidR="00635EA9" w:rsidRPr="00E53E52" w:rsidRDefault="00635EA9" w:rsidP="00635EA9">
      <w:pPr>
        <w:keepNext/>
        <w:widowControl w:val="0"/>
        <w:autoSpaceDE w:val="0"/>
        <w:autoSpaceDN w:val="0"/>
        <w:adjustRightInd w:val="0"/>
        <w:spacing w:after="120" w:line="240" w:lineRule="auto"/>
        <w:jc w:val="center"/>
        <w:rPr>
          <w:rFonts w:ascii="Century Schoolbook" w:hAnsi="Century Schoolbook" w:cs="Times New Roman"/>
        </w:rPr>
      </w:pPr>
      <w:r w:rsidRPr="00E53E52">
        <w:rPr>
          <w:rFonts w:ascii="Century Schoolbook" w:hAnsi="Century Schoolbook" w:cs="Times New Roman"/>
        </w:rPr>
        <w:t>B.</w:t>
      </w:r>
    </w:p>
    <w:p w14:paraId="564BDE4D"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 xml:space="preserve">* * * By accepting DHS’s concessions as conclusive, the Board in </w:t>
      </w:r>
      <w:r w:rsidRPr="00E53E52">
        <w:rPr>
          <w:rFonts w:ascii="Century Schoolbook" w:hAnsi="Century Schoolbook" w:cs="Times New Roman"/>
          <w:i/>
          <w:iCs/>
        </w:rPr>
        <w:t>A-R-C-G-</w:t>
      </w:r>
      <w:r w:rsidRPr="00E53E52">
        <w:rPr>
          <w:rFonts w:ascii="Century Schoolbook" w:hAnsi="Century Schoolbook" w:cs="Times New Roman"/>
        </w:rPr>
        <w:t xml:space="preserve"> created a misleading impression concerning the cognizability of similar social groups, and the viability of asylum claims premised upon persecution on account of membership in such groups.</w:t>
      </w:r>
    </w:p>
    <w:p w14:paraId="379C2084" w14:textId="77777777" w:rsidR="00635EA9" w:rsidRPr="00E53E52" w:rsidRDefault="00635EA9" w:rsidP="00635EA9">
      <w:pPr>
        <w:keepNext/>
        <w:widowControl w:val="0"/>
        <w:autoSpaceDE w:val="0"/>
        <w:autoSpaceDN w:val="0"/>
        <w:adjustRightInd w:val="0"/>
        <w:spacing w:after="120" w:line="240" w:lineRule="auto"/>
        <w:jc w:val="center"/>
        <w:rPr>
          <w:rFonts w:ascii="Century Schoolbook" w:hAnsi="Century Schoolbook" w:cs="Times New Roman"/>
        </w:rPr>
      </w:pPr>
      <w:r w:rsidRPr="00E53E52">
        <w:rPr>
          <w:rFonts w:ascii="Century Schoolbook" w:hAnsi="Century Schoolbook" w:cs="Times New Roman"/>
        </w:rPr>
        <w:t>1.</w:t>
      </w:r>
    </w:p>
    <w:p w14:paraId="7B983B0C"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 xml:space="preserve">In </w:t>
      </w:r>
      <w:r w:rsidRPr="00E53E52">
        <w:rPr>
          <w:rFonts w:ascii="Century Schoolbook" w:hAnsi="Century Schoolbook" w:cs="Times New Roman"/>
          <w:i/>
          <w:iCs/>
        </w:rPr>
        <w:t>A-R-C-G-</w:t>
      </w:r>
      <w:r w:rsidRPr="00E53E52">
        <w:rPr>
          <w:rFonts w:ascii="Century Schoolbook" w:hAnsi="Century Schoolbook" w:cs="Times New Roman"/>
        </w:rPr>
        <w:t>, DHS conceded that A-R-C-G- was a member of a “cognizable” social group that was both particular and socially distinct. The Board thus avoided considering whether A-R-C-G- could establish the existence of a cognizable particular social group without defining the group by the fact of persecution.</w:t>
      </w:r>
    </w:p>
    <w:p w14:paraId="1A1E260F"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 xml:space="preserve">To be cognizable, a particular social group </w:t>
      </w:r>
      <w:r w:rsidRPr="00E53E52">
        <w:rPr>
          <w:rFonts w:ascii="Century Schoolbook" w:hAnsi="Century Schoolbook" w:cs="Times New Roman"/>
          <w:i/>
          <w:iCs/>
        </w:rPr>
        <w:t>must</w:t>
      </w:r>
      <w:r w:rsidRPr="00E53E52">
        <w:rPr>
          <w:rFonts w:ascii="Century Schoolbook" w:hAnsi="Century Schoolbook" w:cs="Times New Roman"/>
        </w:rPr>
        <w:t xml:space="preserve"> “exist independently” of the harm asserted in an application for asylum or statutory withholding of removal. If a group is defined by the persecution of its members, then the definition of the group moots the need to establish actual persecution. For this reason, “[t]he individuals in the group must share a narrowing characteristic other than their risk of being persecuted.” </w:t>
      </w:r>
      <w:r w:rsidRPr="00E53E52">
        <w:rPr>
          <w:rFonts w:ascii="Century Schoolbook" w:hAnsi="Century Schoolbook" w:cs="Times New Roman"/>
          <w:i/>
          <w:iCs/>
        </w:rPr>
        <w:t>Rreshpja</w:t>
      </w:r>
      <w:r w:rsidRPr="00E53E52">
        <w:rPr>
          <w:rFonts w:ascii="Century Schoolbook" w:hAnsi="Century Schoolbook" w:cs="Times New Roman"/>
        </w:rPr>
        <w:t xml:space="preserve">, 420 F.3d at 556 </w:t>
      </w:r>
      <w:r w:rsidRPr="00E53E52">
        <w:rPr>
          <w:rFonts w:ascii="Century Schoolbook" w:hAnsi="Century Schoolbook" w:cs="Times New Roman"/>
          <w:i/>
          <w:iCs/>
        </w:rPr>
        <w:t>A-R-C-G-</w:t>
      </w:r>
      <w:r w:rsidRPr="00E53E52">
        <w:rPr>
          <w:rFonts w:ascii="Century Schoolbook" w:hAnsi="Century Schoolbook" w:cs="Times New Roman"/>
        </w:rPr>
        <w:t>never considered that “married women in Guatemala who are unable to leave their relationship” was effectively defined to consist of women in Guatemala who are victims of domestic abuse because the inability “to leave” was created by harm or threatened harm.</w:t>
      </w:r>
    </w:p>
    <w:p w14:paraId="11A6DA1B"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lastRenderedPageBreak/>
        <w:t xml:space="preserve">In accepting DHS’s concession that this proposed particular social group was defined with particularity, the Board limited its analysis to concluding that the terms used to describe the group—“married,” “women,” and “unable to leave the relationship”—have commonly accepted definitions within Guatemalan society. </w:t>
      </w:r>
      <w:r w:rsidRPr="00E53E52">
        <w:rPr>
          <w:rFonts w:ascii="Century Schoolbook" w:hAnsi="Century Schoolbook" w:cs="Times New Roman"/>
          <w:i/>
          <w:iCs/>
        </w:rPr>
        <w:t>A-R-C-G-</w:t>
      </w:r>
      <w:r w:rsidRPr="00E53E52">
        <w:rPr>
          <w:rFonts w:ascii="Century Schoolbook" w:hAnsi="Century Schoolbook" w:cs="Times New Roman"/>
        </w:rPr>
        <w:t xml:space="preserve">, 26 I&amp;N Dec. at 393. But that misses the point. To say that each term has a commonly understood definition, standing alone, does not establish that these terms have the requisite particularity in identifying a distinct social group as such, or that people who meet all of those criteria constitute a discrete social group. * * * </w:t>
      </w:r>
    </w:p>
    <w:p w14:paraId="4909EA51"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 xml:space="preserve">Social groups defined by their vulnerability to private criminal activity likely lack the particularity required under </w:t>
      </w:r>
      <w:r w:rsidRPr="00E53E52">
        <w:rPr>
          <w:rFonts w:ascii="Century Schoolbook" w:hAnsi="Century Schoolbook" w:cs="Times New Roman"/>
          <w:i/>
          <w:iCs/>
        </w:rPr>
        <w:t>M-E-V-G-</w:t>
      </w:r>
      <w:r w:rsidRPr="00E53E52">
        <w:rPr>
          <w:rFonts w:ascii="Century Schoolbook" w:hAnsi="Century Schoolbook" w:cs="Times New Roman"/>
        </w:rPr>
        <w:t xml:space="preserve">, given that broad swaths of society may be susceptible to victimization. For example, groups comprising persons who are “resistant to gang violence” and susceptible to violence from gang members on that basis “are too diffuse to be recognized as a particular social group.” </w:t>
      </w:r>
      <w:r w:rsidRPr="00E53E52">
        <w:rPr>
          <w:rFonts w:ascii="Century Schoolbook" w:hAnsi="Century Schoolbook" w:cs="Times New Roman"/>
          <w:i/>
          <w:iCs/>
        </w:rPr>
        <w:t>Constanza v. Holder</w:t>
      </w:r>
      <w:r w:rsidRPr="00E53E52">
        <w:rPr>
          <w:rFonts w:ascii="Century Schoolbook" w:hAnsi="Century Schoolbook" w:cs="Times New Roman"/>
        </w:rPr>
        <w:t>, 647 F.3d 749, 754 (8th Cir. 2011). Victims of gang violence often come from all segments of society, and they possess no distinguishing characteristic or concrete trait that would readily identify them as members of such a group.</w:t>
      </w:r>
    </w:p>
    <w:p w14:paraId="1C6EFB39"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Particular social group definitions that seek to avoid particularity issues by defining a narrow class—such as “Guatemalan women who are unable to leave their domestic relationships where they have children in common”—will often lack sufficient social distinction to be cognizable as a distinct social group, rather than a description of individuals sharing certain traits or experiences. A particular social group must avoid, consistent with the evidence, being too broad to have definable boundaries and too narrow to have larger significance in society.</w:t>
      </w:r>
    </w:p>
    <w:p w14:paraId="68A86C5B" w14:textId="77777777" w:rsidR="00635EA9" w:rsidRPr="00E53E52" w:rsidRDefault="00635EA9" w:rsidP="00635EA9">
      <w:pPr>
        <w:pStyle w:val="BodyText"/>
        <w:widowControl/>
        <w:spacing w:after="120"/>
        <w:ind w:firstLine="720"/>
        <w:rPr>
          <w:rFonts w:ascii="Century Schoolbook" w:hAnsi="Century Schoolbook" w:cs="Times New Roman"/>
        </w:rPr>
      </w:pPr>
      <w:r w:rsidRPr="00E53E52">
        <w:rPr>
          <w:rFonts w:ascii="Century Schoolbook" w:hAnsi="Century Schoolbook" w:cs="Times New Roman"/>
        </w:rPr>
        <w:t xml:space="preserve">DHS similarly admitted that </w:t>
      </w:r>
      <w:r w:rsidRPr="00E53E52">
        <w:rPr>
          <w:rFonts w:ascii="Century Schoolbook" w:hAnsi="Century Schoolbook" w:cs="Times New Roman"/>
          <w:i/>
          <w:iCs/>
        </w:rPr>
        <w:t>A-R-C-G-’s</w:t>
      </w:r>
      <w:r w:rsidRPr="00E53E52">
        <w:rPr>
          <w:rFonts w:ascii="Century Schoolbook" w:hAnsi="Century Schoolbook" w:cs="Times New Roman"/>
        </w:rPr>
        <w:t xml:space="preserve"> proposed particular social group was socially distinct by conceding that it was cognizable. In support of that concession, the Board cited evidence that Guatemala has a “culture of machismo and family violence” and that, although Guatemala has laws in place to prosecute domestic violence crimes, “enforcement can be problematic because the National Civilian Police often failed to respond to requests for assistance related to domestic violence.”</w:t>
      </w:r>
      <w:bookmarkStart w:id="93" w:name="co_footnoteReference_FN_F9_ID0ERCAI_1"/>
      <w:bookmarkEnd w:id="93"/>
      <w:r w:rsidRPr="00E53E52">
        <w:rPr>
          <w:rFonts w:ascii="Century Schoolbook" w:hAnsi="Century Schoolbook" w:cs="Times New Roman"/>
        </w:rPr>
        <w:t xml:space="preserve"> The Board provided no explanation for why it believed that that evidence established that Guatemalan society perceives, considers, or recognizes “married women in Guatemala who are unable to leave their relationship” to be a distinct social group. * * * By contrast, there is significant room for doubt that Guatemalan society views these women, as horrible as their personal circumstances may be, as members of a distinct group in society, rather than each as a victim of a particular abuser in highly individualized circumstances.</w:t>
      </w:r>
    </w:p>
    <w:p w14:paraId="2051D72C" w14:textId="77777777" w:rsidR="00635EA9" w:rsidRPr="00E53E52" w:rsidRDefault="00635EA9" w:rsidP="00635EA9">
      <w:pPr>
        <w:keepNext/>
        <w:widowControl w:val="0"/>
        <w:autoSpaceDE w:val="0"/>
        <w:autoSpaceDN w:val="0"/>
        <w:adjustRightInd w:val="0"/>
        <w:spacing w:after="120" w:line="240" w:lineRule="auto"/>
        <w:jc w:val="center"/>
        <w:rPr>
          <w:rFonts w:ascii="Century Schoolbook" w:hAnsi="Century Schoolbook" w:cs="Times New Roman"/>
        </w:rPr>
      </w:pPr>
      <w:bookmarkStart w:id="94" w:name="co_pp_sp_1650_337_1"/>
      <w:bookmarkEnd w:id="94"/>
      <w:r w:rsidRPr="00E53E52">
        <w:rPr>
          <w:rFonts w:ascii="Century Schoolbook" w:hAnsi="Century Schoolbook" w:cs="Times New Roman"/>
        </w:rPr>
        <w:t>2.</w:t>
      </w:r>
    </w:p>
    <w:p w14:paraId="7EB86CFA"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 xml:space="preserve">In </w:t>
      </w:r>
      <w:r w:rsidRPr="00E53E52">
        <w:rPr>
          <w:rFonts w:ascii="Century Schoolbook" w:hAnsi="Century Schoolbook" w:cs="Times New Roman"/>
          <w:i/>
          <w:iCs/>
        </w:rPr>
        <w:t>A-R-C-G-</w:t>
      </w:r>
      <w:r w:rsidRPr="00E53E52">
        <w:rPr>
          <w:rFonts w:ascii="Century Schoolbook" w:hAnsi="Century Schoolbook" w:cs="Times New Roman"/>
        </w:rPr>
        <w:t xml:space="preserve">, DHS also conceded that the respondent established that she had suffered past persecution. It can be especially difficult, however, for victims of private violence to prove persecution because “[p]ersecution is something a </w:t>
      </w:r>
      <w:r w:rsidRPr="00E53E52">
        <w:rPr>
          <w:rFonts w:ascii="Century Schoolbook" w:hAnsi="Century Schoolbook" w:cs="Times New Roman"/>
          <w:i/>
          <w:iCs/>
        </w:rPr>
        <w:t>government</w:t>
      </w:r>
      <w:r w:rsidRPr="00E53E52">
        <w:rPr>
          <w:rFonts w:ascii="Century Schoolbook" w:hAnsi="Century Schoolbook" w:cs="Times New Roman"/>
        </w:rPr>
        <w:t xml:space="preserve"> does,” either directly or indirectly by being unwilling or unable to prevent private misconduct. </w:t>
      </w:r>
      <w:r w:rsidRPr="00E53E52">
        <w:rPr>
          <w:rFonts w:ascii="Century Schoolbook" w:hAnsi="Century Schoolbook" w:cs="Times New Roman"/>
          <w:i/>
          <w:iCs/>
        </w:rPr>
        <w:t>Hor v. Gonzales</w:t>
      </w:r>
      <w:r w:rsidRPr="00E53E52">
        <w:rPr>
          <w:rFonts w:ascii="Century Schoolbook" w:hAnsi="Century Schoolbook" w:cs="Times New Roman"/>
        </w:rPr>
        <w:t xml:space="preserve">, 400 F.3d 482, 485 (7th Cir. 2005) (emphasis in original). Persecution under the asylum statute </w:t>
      </w:r>
      <w:r w:rsidRPr="00E53E52">
        <w:rPr>
          <w:rFonts w:ascii="Century Schoolbook" w:hAnsi="Century Schoolbook" w:cs="Times New Roman"/>
        </w:rPr>
        <w:lastRenderedPageBreak/>
        <w:t xml:space="preserve">“does not encompass all treatment that our society regards as unfair, unjust, or even unlawful or unconstitutional.” </w:t>
      </w:r>
      <w:r w:rsidRPr="00E53E52">
        <w:rPr>
          <w:rFonts w:ascii="Century Schoolbook" w:hAnsi="Century Schoolbook" w:cs="Times New Roman"/>
          <w:i/>
          <w:iCs/>
        </w:rPr>
        <w:t>Fatin</w:t>
      </w:r>
      <w:r w:rsidRPr="00E53E52">
        <w:rPr>
          <w:rFonts w:ascii="Century Schoolbook" w:hAnsi="Century Schoolbook" w:cs="Times New Roman"/>
        </w:rPr>
        <w:t>, 12 F.3d at 1240.</w:t>
      </w:r>
    </w:p>
    <w:p w14:paraId="0439A34B"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 xml:space="preserve">Board precedents have defined “persecution” as having three specific elements. First, “persecution” involves an intent to target a belief or characteristic. Yet private criminals are motivated more often by greed or vendettas than by an intent to “overcome [the protected] characteristic of the victim.” </w:t>
      </w:r>
      <w:r w:rsidRPr="00E53E52">
        <w:rPr>
          <w:rFonts w:ascii="Century Schoolbook" w:hAnsi="Century Schoolbook" w:cs="Times New Roman"/>
          <w:i/>
          <w:iCs/>
        </w:rPr>
        <w:t>Matter of Kasinga</w:t>
      </w:r>
      <w:r w:rsidRPr="00E53E52">
        <w:rPr>
          <w:rFonts w:ascii="Century Schoolbook" w:hAnsi="Century Schoolbook" w:cs="Times New Roman"/>
        </w:rPr>
        <w:t xml:space="preserve">, 21 I&amp;N Dec. 357, 365 (BIA 1996). For example, in </w:t>
      </w:r>
      <w:r w:rsidRPr="00E53E52">
        <w:rPr>
          <w:rFonts w:ascii="Century Schoolbook" w:hAnsi="Century Schoolbook" w:cs="Times New Roman"/>
          <w:i/>
          <w:iCs/>
        </w:rPr>
        <w:t>R-A-</w:t>
      </w:r>
      <w:r w:rsidRPr="00E53E52">
        <w:rPr>
          <w:rFonts w:ascii="Century Schoolbook" w:hAnsi="Century Schoolbook" w:cs="Times New Roman"/>
        </w:rPr>
        <w:t>, R-A-’s husband targeted her “because she was his wife, not because she was a member of some broader collection of women, however defined, whom he believed warranted the infliction of harm.”</w:t>
      </w:r>
    </w:p>
    <w:p w14:paraId="323A1A16"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Second, the level of harm must be “severe.” Private violence may well satisfy this standard, and I do not question that A-R-C-G-’s claims of repugnant abuse by her ex-husband were sufficiently severe.</w:t>
      </w:r>
    </w:p>
    <w:p w14:paraId="7A078D6A"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 xml:space="preserve">Third, the harm or suffering must be “inflicted either by the government of a country or by persons or an organization that the government was unable or unwilling to control.” </w:t>
      </w:r>
      <w:r w:rsidRPr="00E53E52">
        <w:rPr>
          <w:rFonts w:ascii="Century Schoolbook" w:hAnsi="Century Schoolbook" w:cs="Times New Roman"/>
          <w:i/>
          <w:iCs/>
        </w:rPr>
        <w:t>Acosta</w:t>
      </w:r>
      <w:r w:rsidRPr="00E53E52">
        <w:rPr>
          <w:rFonts w:ascii="Century Schoolbook" w:hAnsi="Century Schoolbook" w:cs="Times New Roman"/>
        </w:rPr>
        <w:t>, 19 I&amp;N Dec. at 222. The Board declined to address this prong of the analysis, instead remanding to the immigration judge for further proceedings to determine whether the Guatemalan government was unwilling or unable to control A-R-C-G-’s ex-husband.</w:t>
      </w:r>
    </w:p>
    <w:p w14:paraId="0EC90A08" w14:textId="77777777" w:rsidR="00635EA9" w:rsidRPr="00E53E52" w:rsidRDefault="00635EA9" w:rsidP="00635EA9">
      <w:pPr>
        <w:pStyle w:val="BodyText"/>
        <w:widowControl/>
        <w:spacing w:after="120"/>
        <w:ind w:firstLine="720"/>
        <w:rPr>
          <w:rFonts w:ascii="Century Schoolbook" w:hAnsi="Century Schoolbook" w:cs="Times New Roman"/>
        </w:rPr>
      </w:pPr>
      <w:r w:rsidRPr="00E53E52">
        <w:rPr>
          <w:rFonts w:ascii="Century Schoolbook" w:hAnsi="Century Schoolbook" w:cs="Times New Roman"/>
        </w:rPr>
        <w:t xml:space="preserve">An applicant seeking to establish persecution based on violent conduct of a private actor “must show more than ‘difficulty . . . controlling’ private behavior.” </w:t>
      </w:r>
      <w:r w:rsidRPr="00E53E52">
        <w:rPr>
          <w:rFonts w:ascii="Century Schoolbook" w:hAnsi="Century Schoolbook" w:cs="Times New Roman"/>
          <w:i/>
          <w:iCs/>
        </w:rPr>
        <w:t>Menjivar v. Gonzales</w:t>
      </w:r>
      <w:r w:rsidRPr="00E53E52">
        <w:rPr>
          <w:rFonts w:ascii="Century Schoolbook" w:hAnsi="Century Schoolbook" w:cs="Times New Roman"/>
        </w:rPr>
        <w:t xml:space="preserve">, 416 F.3d 918, 921 (8th Cir. 2005) (quoting </w:t>
      </w:r>
      <w:r w:rsidRPr="00E53E52">
        <w:rPr>
          <w:rFonts w:ascii="Century Schoolbook" w:hAnsi="Century Schoolbook" w:cs="Times New Roman"/>
          <w:i/>
          <w:iCs/>
        </w:rPr>
        <w:t>Matter of McMullen</w:t>
      </w:r>
      <w:r w:rsidRPr="00E53E52">
        <w:rPr>
          <w:rFonts w:ascii="Century Schoolbook" w:hAnsi="Century Schoolbook" w:cs="Times New Roman"/>
        </w:rPr>
        <w:t>, 17 I&amp;N Dec. 542, 546 (BIA 1980)). * * * The fact that the local police have not acted on a particular report of an individual crime does not necessarily mean that the government is unwilling or unable to control crime, any more than it would in the United States. * * *</w:t>
      </w:r>
    </w:p>
    <w:p w14:paraId="51928562" w14:textId="77777777" w:rsidR="00635EA9" w:rsidRPr="00E53E52" w:rsidRDefault="00635EA9" w:rsidP="00635EA9">
      <w:pPr>
        <w:keepNext/>
        <w:widowControl w:val="0"/>
        <w:autoSpaceDE w:val="0"/>
        <w:autoSpaceDN w:val="0"/>
        <w:adjustRightInd w:val="0"/>
        <w:spacing w:after="120" w:line="240" w:lineRule="auto"/>
        <w:jc w:val="center"/>
        <w:rPr>
          <w:rFonts w:ascii="Century Schoolbook" w:hAnsi="Century Schoolbook" w:cs="Times New Roman"/>
        </w:rPr>
      </w:pPr>
      <w:r w:rsidRPr="00E53E52">
        <w:rPr>
          <w:rFonts w:ascii="Century Schoolbook" w:hAnsi="Century Schoolbook" w:cs="Times New Roman"/>
        </w:rPr>
        <w:t>3.</w:t>
      </w:r>
    </w:p>
    <w:p w14:paraId="7D13EE71"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Finally, DHS conceded the nexus requirement by agreeing that persecution suffered by A-R-C-G- “was, for at least one central reason, on account of her membership in a cognizable particular social group.” This conclusion simply does not follow from the facts of that case or similar cases. * * * </w:t>
      </w:r>
    </w:p>
    <w:p w14:paraId="00AF7032"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 xml:space="preserve">* * * The focus in determining whether an alien was persecuted “on account of” her group membership is on “the persecutors’ motives”—why the persecutors sought to inflict harm. </w:t>
      </w:r>
      <w:r w:rsidRPr="00E53E52">
        <w:rPr>
          <w:rFonts w:ascii="Century Schoolbook" w:hAnsi="Century Schoolbook" w:cs="Times New Roman"/>
          <w:i/>
          <w:iCs/>
        </w:rPr>
        <w:t>INS v. Elias-Zacarias</w:t>
      </w:r>
      <w:r w:rsidRPr="00E53E52">
        <w:rPr>
          <w:rFonts w:ascii="Century Schoolbook" w:hAnsi="Century Schoolbook" w:cs="Times New Roman"/>
        </w:rPr>
        <w:t xml:space="preserve">, 502 U.S. 478, 483 (1992). Reasons incidental, tangential, or subordinate to the persecutor’s motivation will not suffice. </w:t>
      </w:r>
      <w:r w:rsidRPr="00E53E52">
        <w:rPr>
          <w:rFonts w:ascii="Century Schoolbook" w:hAnsi="Century Schoolbook" w:cs="Times New Roman"/>
          <w:i/>
          <w:iCs/>
        </w:rPr>
        <w:t>Matter of J-B-N- &amp; S-M-</w:t>
      </w:r>
      <w:r w:rsidRPr="00E53E52">
        <w:rPr>
          <w:rFonts w:ascii="Century Schoolbook" w:hAnsi="Century Schoolbook" w:cs="Times New Roman"/>
        </w:rPr>
        <w:t>, 24 I&amp;N Dec. 208, 214 (BIA 2007).</w:t>
      </w:r>
    </w:p>
    <w:p w14:paraId="656FED7A" w14:textId="77777777" w:rsidR="00635EA9" w:rsidRPr="00E53E52" w:rsidRDefault="00635EA9" w:rsidP="00635EA9">
      <w:pPr>
        <w:pStyle w:val="BodyText"/>
        <w:widowControl/>
        <w:spacing w:after="0"/>
        <w:ind w:firstLine="0"/>
        <w:jc w:val="center"/>
        <w:rPr>
          <w:rFonts w:ascii="Century Schoolbook" w:hAnsi="Century Schoolbook" w:cs="Times New Roman"/>
        </w:rPr>
      </w:pPr>
      <w:r w:rsidRPr="00E53E52">
        <w:rPr>
          <w:rFonts w:ascii="Century Schoolbook" w:hAnsi="Century Schoolbook" w:cs="Times New Roman"/>
        </w:rPr>
        <w:t>* * * </w:t>
      </w:r>
    </w:p>
    <w:p w14:paraId="11F64DD2"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 xml:space="preserve">When private actors inflict violence based on a personal relationship with a victim, then the victim’s membership in a larger group may well not be </w:t>
      </w:r>
      <w:bookmarkStart w:id="95" w:name="co_pp_sp_1650_339_1"/>
      <w:bookmarkEnd w:id="95"/>
      <w:r w:rsidRPr="00E53E52">
        <w:rPr>
          <w:rFonts w:ascii="Century Schoolbook" w:hAnsi="Century Schoolbook" w:cs="Times New Roman"/>
        </w:rPr>
        <w:t>“one central reason” for the abuse.</w:t>
      </w:r>
      <w:bookmarkStart w:id="96" w:name="co_footnoteReference_FN_F10_ID0EMTAI_1"/>
      <w:bookmarkEnd w:id="96"/>
      <w:r w:rsidRPr="00E53E52">
        <w:rPr>
          <w:rFonts w:ascii="Century Schoolbook" w:hAnsi="Century Schoolbook" w:cs="Times New Roman"/>
        </w:rPr>
        <w:t xml:space="preserve"> A criminal gang may target people because they have money or property within the area where the gang operates, or simply because the gang inflicts violence on those who are </w:t>
      </w:r>
      <w:r w:rsidRPr="00E53E52">
        <w:rPr>
          <w:rFonts w:ascii="Century Schoolbook" w:hAnsi="Century Schoolbook" w:cs="Times New Roman"/>
        </w:rPr>
        <w:lastRenderedPageBreak/>
        <w:t>nearby. That does not make the gang’s victims persons who have been targeted “on account of” their membership in any social group.</w:t>
      </w:r>
    </w:p>
    <w:p w14:paraId="311430D4" w14:textId="77777777" w:rsidR="00635EA9" w:rsidRPr="00E53E52" w:rsidRDefault="00635EA9" w:rsidP="00635EA9">
      <w:pPr>
        <w:pStyle w:val="BodyText"/>
        <w:widowControl/>
        <w:spacing w:after="120"/>
        <w:ind w:firstLine="720"/>
        <w:rPr>
          <w:rFonts w:ascii="Century Schoolbook" w:hAnsi="Century Schoolbook" w:cs="Times New Roman"/>
        </w:rPr>
      </w:pPr>
      <w:r w:rsidRPr="00E53E52">
        <w:rPr>
          <w:rFonts w:ascii="Century Schoolbook" w:hAnsi="Century Schoolbook" w:cs="Times New Roman"/>
        </w:rPr>
        <w:t xml:space="preserve">Similarly, in domestic violence cases, like </w:t>
      </w:r>
      <w:r w:rsidRPr="00E53E52">
        <w:rPr>
          <w:rFonts w:ascii="Century Schoolbook" w:hAnsi="Century Schoolbook" w:cs="Times New Roman"/>
          <w:i/>
          <w:iCs/>
        </w:rPr>
        <w:t>A-R-C-G-</w:t>
      </w:r>
      <w:r w:rsidRPr="00E53E52">
        <w:rPr>
          <w:rFonts w:ascii="Century Schoolbook" w:hAnsi="Century Schoolbook" w:cs="Times New Roman"/>
        </w:rPr>
        <w:t>, the Board cited no evidence that her ex-husband attacked her because he was aware of, and hostile to, “married women in Guatemala who are unable to leave their relationship.” Rather, he attacked her because of his preexisting personal relationship with the victim. * * *</w:t>
      </w:r>
    </w:p>
    <w:p w14:paraId="6EA2100D" w14:textId="77777777" w:rsidR="00635EA9" w:rsidRPr="00E53E52" w:rsidRDefault="00635EA9" w:rsidP="00635EA9">
      <w:pPr>
        <w:keepNext/>
        <w:widowControl w:val="0"/>
        <w:autoSpaceDE w:val="0"/>
        <w:autoSpaceDN w:val="0"/>
        <w:adjustRightInd w:val="0"/>
        <w:spacing w:after="120" w:line="240" w:lineRule="auto"/>
        <w:jc w:val="center"/>
        <w:rPr>
          <w:rFonts w:ascii="Century Schoolbook" w:hAnsi="Century Schoolbook" w:cs="Times New Roman"/>
        </w:rPr>
      </w:pPr>
      <w:r w:rsidRPr="00E53E52">
        <w:rPr>
          <w:rFonts w:ascii="Century Schoolbook" w:hAnsi="Century Schoolbook" w:cs="Times New Roman"/>
        </w:rPr>
        <w:t>4.</w:t>
      </w:r>
    </w:p>
    <w:p w14:paraId="5A4EB729" w14:textId="77777777" w:rsidR="00635EA9" w:rsidRPr="00E53E52" w:rsidRDefault="00635EA9" w:rsidP="00635EA9">
      <w:pPr>
        <w:pStyle w:val="BodyText"/>
        <w:widowControl/>
        <w:spacing w:after="0"/>
        <w:ind w:firstLine="0"/>
        <w:jc w:val="center"/>
        <w:rPr>
          <w:rFonts w:ascii="Century Schoolbook" w:hAnsi="Century Schoolbook" w:cs="Times New Roman"/>
        </w:rPr>
      </w:pPr>
      <w:r w:rsidRPr="00E53E52">
        <w:rPr>
          <w:rFonts w:ascii="Century Schoolbook" w:hAnsi="Century Schoolbook" w:cs="Times New Roman"/>
        </w:rPr>
        <w:t>* * *</w:t>
      </w:r>
    </w:p>
    <w:p w14:paraId="18D5843A" w14:textId="77777777" w:rsidR="00635EA9" w:rsidRPr="00E53E52" w:rsidRDefault="00635EA9" w:rsidP="00635EA9">
      <w:pPr>
        <w:pStyle w:val="BodyText"/>
        <w:widowControl/>
        <w:spacing w:after="120"/>
        <w:ind w:firstLine="720"/>
        <w:rPr>
          <w:rFonts w:ascii="Century Schoolbook" w:hAnsi="Century Schoolbook"/>
        </w:rPr>
      </w:pPr>
      <w:bookmarkStart w:id="97" w:name="co_pp_sp_1650_340_1"/>
      <w:bookmarkEnd w:id="97"/>
      <w:r w:rsidRPr="00E53E52">
        <w:rPr>
          <w:rFonts w:ascii="Century Schoolbook" w:hAnsi="Century Schoolbook" w:cs="Times New Roman"/>
        </w:rPr>
        <w:t>Future social group cases must be governed by the analysis set forth in this opinion.</w:t>
      </w:r>
    </w:p>
    <w:p w14:paraId="523E60DD" w14:textId="77777777" w:rsidR="00635EA9" w:rsidRPr="00E53E52" w:rsidRDefault="00635EA9" w:rsidP="00635EA9">
      <w:pPr>
        <w:keepNext/>
        <w:widowControl w:val="0"/>
        <w:autoSpaceDE w:val="0"/>
        <w:autoSpaceDN w:val="0"/>
        <w:adjustRightInd w:val="0"/>
        <w:spacing w:after="120" w:line="240" w:lineRule="auto"/>
        <w:jc w:val="center"/>
        <w:rPr>
          <w:rFonts w:ascii="Century Schoolbook" w:hAnsi="Century Schoolbook" w:cs="Times New Roman"/>
        </w:rPr>
      </w:pPr>
      <w:r w:rsidRPr="00E53E52">
        <w:rPr>
          <w:rFonts w:ascii="Century Schoolbook" w:hAnsi="Century Schoolbook" w:cs="Times New Roman"/>
        </w:rPr>
        <w:t>V.</w:t>
      </w:r>
    </w:p>
    <w:p w14:paraId="3E16D62D"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 xml:space="preserve">Having overruled </w:t>
      </w:r>
      <w:r w:rsidRPr="00E53E52">
        <w:rPr>
          <w:rFonts w:ascii="Century Schoolbook" w:hAnsi="Century Schoolbook" w:cs="Times New Roman"/>
          <w:i/>
          <w:iCs/>
        </w:rPr>
        <w:t>A-R-C-G-</w:t>
      </w:r>
      <w:r w:rsidRPr="00E53E52">
        <w:rPr>
          <w:rFonts w:ascii="Century Schoolbook" w:hAnsi="Century Schoolbook" w:cs="Times New Roman"/>
        </w:rPr>
        <w:t xml:space="preserve">, I must vacate the Board’s December 2016 decision in this case as well. The Board’s cursory analysis of the respondent’s social group consisted of a general citation to </w:t>
      </w:r>
      <w:r w:rsidRPr="00E53E52">
        <w:rPr>
          <w:rFonts w:ascii="Century Schoolbook" w:hAnsi="Century Schoolbook" w:cs="Times New Roman"/>
          <w:i/>
          <w:iCs/>
        </w:rPr>
        <w:t>A-R-C-G-</w:t>
      </w:r>
      <w:r w:rsidRPr="00E53E52">
        <w:rPr>
          <w:rFonts w:ascii="Century Schoolbook" w:hAnsi="Century Schoolbook" w:cs="Times New Roman"/>
        </w:rPr>
        <w:t xml:space="preserve"> and country condition reports. Neither immigration judges nor the Board may avoid the rigorous analysis required in determining asylum claims, especially where victims of private violence claim persecution based on membership in a particular social group. Such claims must be carefully analyzed under the standards articulated in this opinion and in past Board decisions, such as </w:t>
      </w:r>
      <w:bookmarkStart w:id="98" w:name="_Hlk520292887"/>
      <w:r w:rsidRPr="00E53E52">
        <w:rPr>
          <w:rFonts w:ascii="Century Schoolbook" w:hAnsi="Century Schoolbook" w:cs="Times New Roman"/>
          <w:i/>
          <w:iCs/>
        </w:rPr>
        <w:t>M-E-V-G-</w:t>
      </w:r>
      <w:r w:rsidRPr="00E53E52">
        <w:rPr>
          <w:rFonts w:ascii="Century Schoolbook" w:hAnsi="Century Schoolbook" w:cs="Times New Roman"/>
        </w:rPr>
        <w:t xml:space="preserve"> and </w:t>
      </w:r>
      <w:r w:rsidRPr="00E53E52">
        <w:rPr>
          <w:rFonts w:ascii="Century Schoolbook" w:hAnsi="Century Schoolbook" w:cs="Times New Roman"/>
          <w:i/>
          <w:iCs/>
        </w:rPr>
        <w:t>W-G-R-</w:t>
      </w:r>
      <w:r w:rsidRPr="00E53E52">
        <w:rPr>
          <w:rFonts w:ascii="Century Schoolbook" w:hAnsi="Century Schoolbook" w:cs="Times New Roman"/>
        </w:rPr>
        <w:t>.</w:t>
      </w:r>
      <w:bookmarkEnd w:id="98"/>
    </w:p>
    <w:p w14:paraId="0D2358AA" w14:textId="77777777" w:rsidR="00635EA9" w:rsidRPr="00E53E52" w:rsidRDefault="00635EA9" w:rsidP="00635EA9">
      <w:pPr>
        <w:pStyle w:val="BodyText"/>
        <w:widowControl/>
        <w:spacing w:after="0"/>
        <w:ind w:firstLine="0"/>
        <w:jc w:val="center"/>
        <w:rPr>
          <w:rFonts w:ascii="Century Schoolbook" w:hAnsi="Century Schoolbook" w:cs="Times New Roman"/>
        </w:rPr>
      </w:pPr>
      <w:r w:rsidRPr="00E53E52">
        <w:rPr>
          <w:rFonts w:ascii="Century Schoolbook" w:hAnsi="Century Schoolbook" w:cs="Times New Roman"/>
        </w:rPr>
        <w:t>* * * </w:t>
      </w:r>
    </w:p>
    <w:p w14:paraId="200D1CD8"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 xml:space="preserve">Of course, if an alien’s asylum application is fatally flawed in one respect—for example, for failure to show membership in a proposed social group, </w:t>
      </w:r>
      <w:r w:rsidRPr="00E53E52">
        <w:rPr>
          <w:rFonts w:ascii="Century Schoolbook" w:hAnsi="Century Schoolbook" w:cs="Times New Roman"/>
          <w:i/>
          <w:iCs/>
        </w:rPr>
        <w:t>see Guzman-Alvarez v. Sessions</w:t>
      </w:r>
      <w:r w:rsidRPr="00E53E52">
        <w:rPr>
          <w:rFonts w:ascii="Century Schoolbook" w:hAnsi="Century Schoolbook" w:cs="Times New Roman"/>
        </w:rPr>
        <w:t xml:space="preserve">, 701 F. App’x 54, 56-57 (2d Cir. 2017)—an immigration judge or the Board need not examine the remaining elements of the asylum claim. </w:t>
      </w:r>
    </w:p>
    <w:p w14:paraId="32184EF4"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Having subjected the Board’s decision to plenary review, I also address several additional errors and outline other general requirements relevant to all asylum applications to provide guidance to the Board and immigration judge on remand.</w:t>
      </w:r>
    </w:p>
    <w:p w14:paraId="6999C13A" w14:textId="77777777" w:rsidR="00635EA9" w:rsidRPr="00E53E52" w:rsidRDefault="00635EA9" w:rsidP="00635EA9">
      <w:pPr>
        <w:keepNext/>
        <w:widowControl w:val="0"/>
        <w:autoSpaceDE w:val="0"/>
        <w:autoSpaceDN w:val="0"/>
        <w:adjustRightInd w:val="0"/>
        <w:spacing w:after="0" w:line="240" w:lineRule="auto"/>
        <w:jc w:val="center"/>
        <w:rPr>
          <w:rFonts w:ascii="Century Schoolbook" w:hAnsi="Century Schoolbook" w:cs="Times New Roman"/>
        </w:rPr>
      </w:pPr>
      <w:r w:rsidRPr="00E53E52">
        <w:rPr>
          <w:rFonts w:ascii="Century Schoolbook" w:hAnsi="Century Schoolbook" w:cs="Times New Roman"/>
        </w:rPr>
        <w:t>A.</w:t>
      </w:r>
    </w:p>
    <w:p w14:paraId="4A96BF10" w14:textId="77777777" w:rsidR="00635EA9" w:rsidRPr="00E53E52" w:rsidRDefault="00635EA9" w:rsidP="00635EA9">
      <w:pPr>
        <w:pStyle w:val="BodyText"/>
        <w:widowControl/>
        <w:spacing w:after="0"/>
        <w:ind w:firstLine="0"/>
        <w:jc w:val="center"/>
        <w:rPr>
          <w:rFonts w:ascii="Century Schoolbook" w:hAnsi="Century Schoolbook" w:cs="Times New Roman"/>
        </w:rPr>
      </w:pPr>
      <w:r w:rsidRPr="00E53E52">
        <w:rPr>
          <w:rFonts w:ascii="Century Schoolbook" w:hAnsi="Century Schoolbook" w:cs="Times New Roman"/>
        </w:rPr>
        <w:t>* * *</w:t>
      </w:r>
    </w:p>
    <w:p w14:paraId="142C9F5C" w14:textId="77777777" w:rsidR="00635EA9" w:rsidRPr="00E53E52" w:rsidRDefault="00635EA9" w:rsidP="00635EA9">
      <w:pPr>
        <w:keepNext/>
        <w:widowControl w:val="0"/>
        <w:autoSpaceDE w:val="0"/>
        <w:autoSpaceDN w:val="0"/>
        <w:adjustRightInd w:val="0"/>
        <w:spacing w:after="120" w:line="240" w:lineRule="auto"/>
        <w:jc w:val="center"/>
        <w:rPr>
          <w:rFonts w:ascii="Century Schoolbook" w:hAnsi="Century Schoolbook" w:cs="Times New Roman"/>
        </w:rPr>
      </w:pPr>
      <w:r w:rsidRPr="00E53E52">
        <w:rPr>
          <w:rFonts w:ascii="Century Schoolbook" w:hAnsi="Century Schoolbook" w:cs="Times New Roman"/>
        </w:rPr>
        <w:t>1.</w:t>
      </w:r>
    </w:p>
    <w:p w14:paraId="0EEA3809"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Here, the Board admitted that the immigration judge identified discrepancies and omissions in the respondent’s testimony, but discounted the adverse credibility determination on various grounds including that the supportive affidavits were due greater weight, that the respondent sufficiently explained some discrepancies, and that the discrepancies did not ultimately undermine the respondent’s account. In so doing, the Board failed to give adequate deference to the credibility determinations and improperly substituted its own assessment of the evidence.</w:t>
      </w:r>
    </w:p>
    <w:p w14:paraId="4A7459CE" w14:textId="77777777" w:rsidR="00635EA9" w:rsidRPr="00E53E52" w:rsidRDefault="00635EA9" w:rsidP="00635EA9">
      <w:pPr>
        <w:pStyle w:val="BodyText"/>
        <w:widowControl/>
        <w:spacing w:after="120"/>
        <w:ind w:firstLine="720"/>
        <w:rPr>
          <w:rFonts w:ascii="Century Schoolbook" w:hAnsi="Century Schoolbook" w:cs="Times New Roman"/>
        </w:rPr>
      </w:pPr>
      <w:r w:rsidRPr="00E53E52">
        <w:rPr>
          <w:rFonts w:ascii="Century Schoolbook" w:hAnsi="Century Schoolbook" w:cs="Times New Roman"/>
        </w:rPr>
        <w:t>When an asylum applicant makes inconsistent statements, the immigration judge is uniquely advantaged to determine the applicant’s credibility, and the Board may not substitute its own view of the evidence on appeal. * * *</w:t>
      </w:r>
    </w:p>
    <w:p w14:paraId="6CA617F0" w14:textId="77777777" w:rsidR="00635EA9" w:rsidRPr="00E53E52" w:rsidRDefault="00635EA9" w:rsidP="00635EA9">
      <w:pPr>
        <w:keepNext/>
        <w:widowControl w:val="0"/>
        <w:autoSpaceDE w:val="0"/>
        <w:autoSpaceDN w:val="0"/>
        <w:adjustRightInd w:val="0"/>
        <w:spacing w:after="120" w:line="240" w:lineRule="auto"/>
        <w:jc w:val="center"/>
        <w:rPr>
          <w:rFonts w:ascii="Century Schoolbook" w:hAnsi="Century Schoolbook" w:cs="Times New Roman"/>
        </w:rPr>
      </w:pPr>
      <w:r w:rsidRPr="00E53E52">
        <w:rPr>
          <w:rFonts w:ascii="Century Schoolbook" w:hAnsi="Century Schoolbook" w:cs="Times New Roman"/>
        </w:rPr>
        <w:lastRenderedPageBreak/>
        <w:t>2.</w:t>
      </w:r>
    </w:p>
    <w:p w14:paraId="3AF145CD"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The Board further erred in concluding that the immigration judge’s factual findings concerning the respondent’s ability to leave her relationship and El Salvador’s ability to protect her were clearly erroneous. In support of his findings, the immigration judge cited evidence that the respondent was able to divorce and move away from her ex-husband, and that she was able to obtain from the El Salvadoran government multiple protective orders against him.</w:t>
      </w:r>
      <w:bookmarkStart w:id="99" w:name="co_footnoteReference_FN_F11_ID0ESFBI_1"/>
      <w:bookmarkEnd w:id="99"/>
      <w:r w:rsidRPr="00E53E52">
        <w:rPr>
          <w:rFonts w:ascii="Century Schoolbook" w:hAnsi="Century Schoolbook" w:cs="Times New Roman"/>
        </w:rPr>
        <w:t xml:space="preserve"> Although the Board questioned the significance of these facts in light of other evidence, it did not establish that the immigration judge’s conclusions were “illogical or implausible,” or without support from the record. </w:t>
      </w:r>
      <w:r w:rsidRPr="00E53E52">
        <w:rPr>
          <w:rFonts w:ascii="Century Schoolbook" w:hAnsi="Century Schoolbook" w:cs="Times New Roman"/>
          <w:i/>
          <w:iCs/>
        </w:rPr>
        <w:t>See Rodriguez</w:t>
      </w:r>
      <w:r w:rsidRPr="00E53E52">
        <w:rPr>
          <w:rFonts w:ascii="Century Schoolbook" w:hAnsi="Century Schoolbook" w:cs="Times New Roman"/>
        </w:rPr>
        <w:t>, 683 F.3d at 1170.</w:t>
      </w:r>
    </w:p>
    <w:p w14:paraId="550FADCD" w14:textId="77777777" w:rsidR="00635EA9" w:rsidRPr="00E53E52" w:rsidRDefault="00635EA9" w:rsidP="00635EA9">
      <w:pPr>
        <w:pStyle w:val="BodyText"/>
        <w:widowControl/>
        <w:spacing w:after="0"/>
        <w:ind w:firstLine="0"/>
        <w:jc w:val="center"/>
        <w:rPr>
          <w:rFonts w:ascii="Century Schoolbook" w:hAnsi="Century Schoolbook" w:cs="Times New Roman"/>
        </w:rPr>
      </w:pPr>
      <w:r w:rsidRPr="00E53E52">
        <w:rPr>
          <w:rFonts w:ascii="Century Schoolbook" w:hAnsi="Century Schoolbook" w:cs="Times New Roman"/>
        </w:rPr>
        <w:t>* * * </w:t>
      </w:r>
    </w:p>
    <w:p w14:paraId="558B73A1" w14:textId="77777777" w:rsidR="00635EA9" w:rsidRPr="00E53E52" w:rsidRDefault="00635EA9" w:rsidP="00635EA9">
      <w:pPr>
        <w:keepNext/>
        <w:widowControl w:val="0"/>
        <w:autoSpaceDE w:val="0"/>
        <w:autoSpaceDN w:val="0"/>
        <w:adjustRightInd w:val="0"/>
        <w:spacing w:after="120" w:line="240" w:lineRule="auto"/>
        <w:jc w:val="center"/>
        <w:rPr>
          <w:rFonts w:ascii="Century Schoolbook" w:hAnsi="Century Schoolbook" w:cs="Times New Roman"/>
        </w:rPr>
      </w:pPr>
      <w:bookmarkStart w:id="100" w:name="co_pp_sp_1650_343_1"/>
      <w:bookmarkEnd w:id="100"/>
      <w:r w:rsidRPr="00E53E52">
        <w:rPr>
          <w:rFonts w:ascii="Century Schoolbook" w:hAnsi="Century Schoolbook" w:cs="Times New Roman"/>
        </w:rPr>
        <w:t>B.</w:t>
      </w:r>
    </w:p>
    <w:p w14:paraId="61DFBF61"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 xml:space="preserve">The Board also erred when it found that the respondent established the required nexus between the harm she suffered and her group membership. Whether a purported persecutor was motivated by an alien’s group affiliation “is a classic factual question,” </w:t>
      </w:r>
      <w:r w:rsidRPr="00E53E52">
        <w:rPr>
          <w:rFonts w:ascii="Century Schoolbook" w:hAnsi="Century Schoolbook" w:cs="Times New Roman"/>
          <w:i/>
          <w:iCs/>
        </w:rPr>
        <w:t>Zavaleta-Policiano v. Sessions</w:t>
      </w:r>
      <w:r w:rsidRPr="00E53E52">
        <w:rPr>
          <w:rFonts w:ascii="Century Schoolbook" w:hAnsi="Century Schoolbook" w:cs="Times New Roman"/>
        </w:rPr>
        <w:t>, 873 F.3d 241, 247-48 (4th Cir. 2017) (internal quotation marks omitted), which the Board may overturn only if “clearly erroneous.”</w:t>
      </w:r>
    </w:p>
    <w:p w14:paraId="5FBDC88C"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 * * There was simply no basis in the Board’s summary reasoning for overturning the immigration judge’s factual findings, much less finding them clearly erroneous.</w:t>
      </w:r>
    </w:p>
    <w:p w14:paraId="0EC39AAC" w14:textId="77777777" w:rsidR="00635EA9" w:rsidRPr="00E53E52" w:rsidRDefault="00635EA9" w:rsidP="00635EA9">
      <w:pPr>
        <w:keepNext/>
        <w:widowControl w:val="0"/>
        <w:autoSpaceDE w:val="0"/>
        <w:autoSpaceDN w:val="0"/>
        <w:adjustRightInd w:val="0"/>
        <w:spacing w:after="120" w:line="240" w:lineRule="auto"/>
        <w:jc w:val="center"/>
        <w:rPr>
          <w:rFonts w:ascii="Century Schoolbook" w:hAnsi="Century Schoolbook" w:cs="Times New Roman"/>
        </w:rPr>
      </w:pPr>
      <w:r w:rsidRPr="00E53E52">
        <w:rPr>
          <w:rFonts w:ascii="Century Schoolbook" w:hAnsi="Century Schoolbook" w:cs="Times New Roman"/>
        </w:rPr>
        <w:t>C.</w:t>
      </w:r>
    </w:p>
    <w:p w14:paraId="01117CF9"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The Board also erred when it overruled the immigration judge’s finding that the respondent failed to demonstrate that the government of El Salvador was unable or unwilling to protect her from her ex-husband. This inquiry too involved factual findings to which the Board did not give proper deference. No country provides its citizens with complete security from private criminal activity, and perfect protection is not required. In this case, the respondent not only reached out to police, but received various restraining orders and had him arrested on at least one occasion.</w:t>
      </w:r>
    </w:p>
    <w:p w14:paraId="16F410AF" w14:textId="77777777" w:rsidR="00635EA9" w:rsidRPr="00E53E52" w:rsidRDefault="00635EA9" w:rsidP="00635EA9">
      <w:pPr>
        <w:pStyle w:val="BodyText"/>
        <w:widowControl/>
        <w:spacing w:after="120"/>
        <w:ind w:firstLine="720"/>
        <w:rPr>
          <w:rFonts w:ascii="Century Schoolbook" w:hAnsi="Century Schoolbook" w:cs="Times New Roman"/>
        </w:rPr>
      </w:pPr>
      <w:r w:rsidRPr="00E53E52">
        <w:rPr>
          <w:rFonts w:ascii="Century Schoolbook" w:hAnsi="Century Schoolbook" w:cs="Times New Roman"/>
        </w:rPr>
        <w:t>* * * The persistence of domestic violence in El Salvador, however, does not establish that El Salvador was unable or unwilling to protect A-B- from her husband, any more than the persistence of domestic violence in the United States means that our government is unwilling or unable to protect victims of domestic violence. * * *</w:t>
      </w:r>
    </w:p>
    <w:p w14:paraId="2C30D435" w14:textId="77777777" w:rsidR="00635EA9" w:rsidRPr="00E53E52" w:rsidRDefault="00635EA9" w:rsidP="00635EA9">
      <w:pPr>
        <w:keepNext/>
        <w:widowControl w:val="0"/>
        <w:autoSpaceDE w:val="0"/>
        <w:autoSpaceDN w:val="0"/>
        <w:adjustRightInd w:val="0"/>
        <w:spacing w:after="120" w:line="240" w:lineRule="auto"/>
        <w:jc w:val="center"/>
        <w:rPr>
          <w:rFonts w:ascii="Century Schoolbook" w:hAnsi="Century Schoolbook" w:cs="Times New Roman"/>
        </w:rPr>
      </w:pPr>
      <w:r w:rsidRPr="00E53E52">
        <w:rPr>
          <w:rFonts w:ascii="Century Schoolbook" w:hAnsi="Century Schoolbook" w:cs="Times New Roman"/>
        </w:rPr>
        <w:t>D.</w:t>
      </w:r>
    </w:p>
    <w:p w14:paraId="6849B0EF"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 xml:space="preserve">The Board, immigration judges, and all asylum officers should consider the following points when evaluating an application for asylum. </w:t>
      </w:r>
      <w:bookmarkStart w:id="101" w:name="_Hlk520292438"/>
      <w:r w:rsidRPr="00E53E52">
        <w:rPr>
          <w:rFonts w:ascii="Century Schoolbook" w:hAnsi="Century Schoolbook" w:cs="Times New Roman"/>
        </w:rPr>
        <w:t xml:space="preserve">First, an applicant seeking asylum or withholding of removal based on membership in a particular social group must clearly indicate, on the record and before the immigration judge, the exact delineation of any proposed particular social group. </w:t>
      </w:r>
      <w:r w:rsidRPr="00E53E52">
        <w:rPr>
          <w:rFonts w:ascii="Century Schoolbook" w:hAnsi="Century Schoolbook" w:cs="Times New Roman"/>
          <w:i/>
          <w:iCs/>
        </w:rPr>
        <w:t>See Matter of W-Y-C- &amp; H-O-B-</w:t>
      </w:r>
      <w:r w:rsidRPr="00E53E52">
        <w:rPr>
          <w:rFonts w:ascii="Century Schoolbook" w:hAnsi="Century Schoolbook" w:cs="Times New Roman"/>
        </w:rPr>
        <w:t xml:space="preserve">, 27 I&amp;N Dec. 189, 190-91 (BIA 2018). </w:t>
      </w:r>
      <w:bookmarkEnd w:id="101"/>
      <w:r w:rsidRPr="00E53E52">
        <w:rPr>
          <w:rFonts w:ascii="Century Schoolbook" w:hAnsi="Century Schoolbook" w:cs="Times New Roman"/>
        </w:rPr>
        <w:t>* * * </w:t>
      </w:r>
    </w:p>
    <w:p w14:paraId="6E15A171" w14:textId="77777777" w:rsidR="00635EA9" w:rsidRPr="00E53E52" w:rsidRDefault="00635EA9" w:rsidP="00635EA9">
      <w:pPr>
        <w:pStyle w:val="BodyText"/>
        <w:widowControl/>
        <w:spacing w:after="120"/>
        <w:ind w:firstLine="720"/>
        <w:rPr>
          <w:rFonts w:ascii="Century Schoolbook" w:hAnsi="Century Schoolbook" w:cs="Times New Roman"/>
        </w:rPr>
      </w:pPr>
      <w:r w:rsidRPr="00E53E52">
        <w:rPr>
          <w:rFonts w:ascii="Century Schoolbook" w:hAnsi="Century Schoolbook" w:cs="Times New Roman"/>
        </w:rPr>
        <w:t xml:space="preserve">Furthermore, the Board, immigration judges, and all asylum officers must consider, consistent with the regulations, whether internal relocation in the alien’s home country </w:t>
      </w:r>
      <w:r w:rsidRPr="00E53E52">
        <w:rPr>
          <w:rFonts w:ascii="Century Schoolbook" w:hAnsi="Century Schoolbook" w:cs="Times New Roman"/>
        </w:rPr>
        <w:lastRenderedPageBreak/>
        <w:t>presents a reasonable alternative before granting asylum. * * * When the applicant has suffered personal harm at the hands of only a few specific individuals, internal relocation would seem more reasonable than if the applicant were persecuted, broadly, by her country’s government.</w:t>
      </w:r>
    </w:p>
    <w:p w14:paraId="4EDF61B0"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Finally, there are alternative proper and legal channels for seeking admission to the United States other than entering the country illegally and applying for asylum in a removal proceeding. * * * Aliens seeking a better life in America are welcome to take advantage of existing channels to obtain legal status before entering the country. * * * Aliens seeking an improved quality of life should seek legal work authorization and residency status, instead of illegally entering the United States and claiming asylum.</w:t>
      </w:r>
      <w:bookmarkStart w:id="102" w:name="co_footnoteReference_FN_F12_ID0E1QBI_1"/>
      <w:bookmarkEnd w:id="102"/>
    </w:p>
    <w:p w14:paraId="6AB37DAB" w14:textId="77777777" w:rsidR="00635EA9" w:rsidRPr="00E53E52" w:rsidRDefault="00635EA9" w:rsidP="00635EA9">
      <w:pPr>
        <w:keepNext/>
        <w:widowControl w:val="0"/>
        <w:autoSpaceDE w:val="0"/>
        <w:autoSpaceDN w:val="0"/>
        <w:adjustRightInd w:val="0"/>
        <w:spacing w:after="120" w:line="240" w:lineRule="auto"/>
        <w:jc w:val="center"/>
        <w:rPr>
          <w:rFonts w:ascii="Century Schoolbook" w:hAnsi="Century Schoolbook" w:cs="Times New Roman"/>
        </w:rPr>
      </w:pPr>
      <w:r w:rsidRPr="00E53E52">
        <w:rPr>
          <w:rFonts w:ascii="Century Schoolbook" w:hAnsi="Century Schoolbook" w:cs="Times New Roman"/>
        </w:rPr>
        <w:t>VI.</w:t>
      </w:r>
    </w:p>
    <w:p w14:paraId="02E8F612" w14:textId="77777777" w:rsidR="00635EA9" w:rsidRPr="00E53E52" w:rsidRDefault="00635EA9" w:rsidP="00635EA9">
      <w:pPr>
        <w:pStyle w:val="BodyText"/>
        <w:widowControl/>
        <w:spacing w:after="120"/>
        <w:ind w:firstLine="720"/>
        <w:rPr>
          <w:rFonts w:ascii="Century Schoolbook" w:hAnsi="Century Schoolbook" w:cs="Times New Roman"/>
        </w:rPr>
      </w:pPr>
      <w:bookmarkStart w:id="103" w:name="co_pp_sp_1650_346_1"/>
      <w:bookmarkEnd w:id="103"/>
      <w:r w:rsidRPr="00E53E52">
        <w:rPr>
          <w:rFonts w:ascii="Century Schoolbook" w:hAnsi="Century Schoolbook" w:cs="Times New Roman"/>
        </w:rPr>
        <w:t xml:space="preserve">In reaching these conclusions, I do not minimize the vile abuse that the respondent reported she suffered at the hands of her ex-husband or the harrowing experiences of many other victims of domestic violence around the world. I understand that many victims of domestic violence may seek to flee from their home countries to extricate themselves from a dire situation or to give themselves the opportunity for a better life. But the “asylum statute is not a general hardship statute.” </w:t>
      </w:r>
      <w:r w:rsidRPr="00E53E52">
        <w:rPr>
          <w:rFonts w:ascii="Century Schoolbook" w:hAnsi="Century Schoolbook" w:cs="Times New Roman"/>
          <w:i/>
          <w:iCs/>
        </w:rPr>
        <w:t>Velasquez</w:t>
      </w:r>
      <w:r w:rsidRPr="00E53E52">
        <w:rPr>
          <w:rFonts w:ascii="Century Schoolbook" w:hAnsi="Century Schoolbook" w:cs="Times New Roman"/>
        </w:rPr>
        <w:t xml:space="preserve">, 866 F.3d at 199 (Wilkinson, J., concurring). * * * </w:t>
      </w:r>
    </w:p>
    <w:p w14:paraId="3E34C810" w14:textId="77777777" w:rsidR="00635EA9" w:rsidRPr="00E53E52" w:rsidRDefault="00635EA9" w:rsidP="00635EA9">
      <w:pPr>
        <w:pStyle w:val="BodyText"/>
        <w:widowControl/>
        <w:spacing w:after="120"/>
        <w:ind w:firstLine="720"/>
        <w:rPr>
          <w:rFonts w:ascii="Century Schoolbook" w:hAnsi="Century Schoolbook"/>
        </w:rPr>
      </w:pPr>
      <w:r w:rsidRPr="00E53E52">
        <w:rPr>
          <w:rFonts w:ascii="Century Schoolbook" w:hAnsi="Century Schoolbook" w:cs="Times New Roman"/>
        </w:rPr>
        <w:t xml:space="preserve">I therefore overrule </w:t>
      </w:r>
      <w:r w:rsidRPr="00E53E52">
        <w:rPr>
          <w:rFonts w:ascii="Century Schoolbook" w:hAnsi="Century Schoolbook" w:cs="Times New Roman"/>
          <w:i/>
          <w:iCs/>
        </w:rPr>
        <w:t>Matter of A-R-C-G-</w:t>
      </w:r>
      <w:r w:rsidRPr="00E53E52">
        <w:rPr>
          <w:rFonts w:ascii="Century Schoolbook" w:hAnsi="Century Schoolbook" w:cs="Times New Roman"/>
        </w:rPr>
        <w:t>, 26 I&amp;N Dec. 388 (BIA 2014) and all other opinions inconsistent with the analysis in this opinion, vacate the Board’s decision, and remand to the immigration judge for further proceedings consistent with this opinion.</w:t>
      </w:r>
    </w:p>
    <w:p w14:paraId="09EBD826" w14:textId="77777777" w:rsidR="00635EA9" w:rsidRPr="00E53E52" w:rsidRDefault="00635EA9" w:rsidP="00635EA9">
      <w:pPr>
        <w:pStyle w:val="BodyText"/>
        <w:widowControl/>
        <w:ind w:firstLine="0"/>
        <w:jc w:val="center"/>
        <w:rPr>
          <w:rFonts w:ascii="Century Schoolbook" w:hAnsi="Century Schoolbook"/>
          <w:b/>
          <w:caps/>
        </w:rPr>
      </w:pPr>
      <w:r w:rsidRPr="00E53E52">
        <w:rPr>
          <w:rFonts w:ascii="Century Schoolbook" w:hAnsi="Century Schoolbook"/>
          <w:b/>
          <w:caps/>
        </w:rPr>
        <w:t>________________</w:t>
      </w:r>
    </w:p>
    <w:p w14:paraId="37CFD51D" w14:textId="77777777" w:rsidR="00635EA9" w:rsidRPr="00E53E52" w:rsidRDefault="00635EA9" w:rsidP="00635EA9">
      <w:pPr>
        <w:pStyle w:val="BodyText"/>
        <w:widowControl/>
        <w:spacing w:after="120"/>
        <w:ind w:firstLine="0"/>
        <w:jc w:val="center"/>
        <w:rPr>
          <w:rFonts w:ascii="Century Schoolbook" w:hAnsi="Century Schoolbook"/>
          <w:b/>
          <w:i/>
          <w:caps/>
        </w:rPr>
      </w:pPr>
      <w:r w:rsidRPr="00E53E52">
        <w:rPr>
          <w:rFonts w:ascii="Century Schoolbook" w:hAnsi="Century Schoolbook"/>
          <w:b/>
          <w:i/>
          <w:caps/>
        </w:rPr>
        <w:t>N</w:t>
      </w:r>
      <w:r w:rsidRPr="00E53E52">
        <w:rPr>
          <w:rFonts w:ascii="Century Schoolbook" w:hAnsi="Century Schoolbook"/>
          <w:b/>
          <w:i/>
          <w:smallCaps/>
        </w:rPr>
        <w:t>otes</w:t>
      </w:r>
      <w:r w:rsidRPr="00E53E52">
        <w:rPr>
          <w:rFonts w:ascii="Century Schoolbook" w:hAnsi="Century Schoolbook"/>
          <w:b/>
          <w:i/>
          <w:caps/>
        </w:rPr>
        <w:t xml:space="preserve"> </w:t>
      </w:r>
      <w:r w:rsidRPr="00E53E52">
        <w:rPr>
          <w:rFonts w:ascii="Century Schoolbook" w:hAnsi="Century Schoolbook"/>
          <w:b/>
          <w:i/>
          <w:smallCaps/>
        </w:rPr>
        <w:t>and</w:t>
      </w:r>
      <w:r w:rsidRPr="00E53E52">
        <w:rPr>
          <w:rFonts w:ascii="Century Schoolbook" w:hAnsi="Century Schoolbook"/>
          <w:b/>
          <w:i/>
          <w:caps/>
        </w:rPr>
        <w:t xml:space="preserve"> Q</w:t>
      </w:r>
      <w:r w:rsidRPr="00E53E52">
        <w:rPr>
          <w:rFonts w:ascii="Century Schoolbook" w:hAnsi="Century Schoolbook"/>
          <w:b/>
          <w:i/>
          <w:smallCaps/>
        </w:rPr>
        <w:t>uestions</w:t>
      </w:r>
      <w:r w:rsidRPr="00E53E52">
        <w:rPr>
          <w:rFonts w:ascii="Century Schoolbook" w:hAnsi="Century Schoolbook"/>
          <w:b/>
          <w:i/>
          <w:caps/>
        </w:rPr>
        <w:t xml:space="preserve"> </w:t>
      </w:r>
      <w:r w:rsidRPr="00E53E52">
        <w:rPr>
          <w:rFonts w:ascii="Century Schoolbook" w:hAnsi="Century Schoolbook"/>
          <w:b/>
          <w:i/>
          <w:smallCaps/>
        </w:rPr>
        <w:t xml:space="preserve">on </w:t>
      </w:r>
      <w:r w:rsidRPr="00E53E52">
        <w:rPr>
          <w:rFonts w:ascii="Century Schoolbook" w:hAnsi="Century Schoolbook"/>
          <w:b/>
          <w:smallCaps/>
        </w:rPr>
        <w:t>Matter of A-B-</w:t>
      </w:r>
    </w:p>
    <w:p w14:paraId="3B2F92ED" w14:textId="1FB3353F" w:rsidR="00635EA9" w:rsidRPr="00E53E52" w:rsidRDefault="00635EA9" w:rsidP="00635EA9">
      <w:pPr>
        <w:pStyle w:val="BodyText"/>
        <w:widowControl/>
        <w:ind w:firstLine="720"/>
        <w:rPr>
          <w:rFonts w:ascii="Century Schoolbook" w:hAnsi="Century Schoolbook"/>
        </w:rPr>
      </w:pPr>
      <w:r w:rsidRPr="00E53E52">
        <w:rPr>
          <w:rFonts w:ascii="Century Schoolbook" w:hAnsi="Century Schoolbook"/>
        </w:rPr>
        <w:t xml:space="preserve">1. On July 11, 2018, USCIS published a policy memorandum instructing agency adjudicators on how to apply </w:t>
      </w:r>
      <w:r w:rsidRPr="00E53E52">
        <w:rPr>
          <w:rFonts w:ascii="Century Schoolbook" w:hAnsi="Century Schoolbook" w:cs="Times New Roman"/>
          <w:i/>
        </w:rPr>
        <w:t>Matter of A-B-</w:t>
      </w:r>
      <w:r w:rsidRPr="00E53E52">
        <w:rPr>
          <w:rFonts w:ascii="Century Schoolbook" w:hAnsi="Century Schoolbook"/>
        </w:rPr>
        <w:t xml:space="preserve"> </w:t>
      </w:r>
      <w:r w:rsidR="007E3944" w:rsidRPr="00E53E52">
        <w:rPr>
          <w:rFonts w:ascii="Century Schoolbook" w:hAnsi="Century Schoolbook" w:cs="Times New Roman"/>
          <w:iCs/>
        </w:rPr>
        <w:t>in “reasonable fear, credible fear, asylum, and refugee adjudications</w:t>
      </w:r>
      <w:r w:rsidR="007E3944" w:rsidRPr="00E53E52">
        <w:rPr>
          <w:rFonts w:ascii="Century Schoolbook" w:hAnsi="Century Schoolbook"/>
          <w:iCs/>
        </w:rPr>
        <w:t xml:space="preserve">.” </w:t>
      </w:r>
      <w:r w:rsidRPr="00E53E52">
        <w:rPr>
          <w:rFonts w:ascii="Century Schoolbook" w:hAnsi="Century Schoolbook"/>
        </w:rPr>
        <w:t xml:space="preserve">The memo seems to encourage adjudicators to read </w:t>
      </w:r>
      <w:r w:rsidRPr="00E53E52">
        <w:rPr>
          <w:rFonts w:ascii="Century Schoolbook" w:hAnsi="Century Schoolbook" w:cs="Times New Roman"/>
          <w:i/>
        </w:rPr>
        <w:t>Matter of A-B-</w:t>
      </w:r>
      <w:r w:rsidRPr="00E53E52">
        <w:rPr>
          <w:rFonts w:ascii="Century Schoolbook" w:hAnsi="Century Schoolbook"/>
        </w:rPr>
        <w:t xml:space="preserve"> broadly, among other things: to view claims of membership in a particular social group based on domestic violence or gang violence to be approvable only in exceptional cases; to read more strictly the requirement that persecution by non-state actors is cognizable only if the government is unable or unwilling to protect the applicant; and to consider entry without inspection to be a negative factor weighing against the favorable exercise of discretion in deciding to grant or deny asylum. </w:t>
      </w:r>
      <w:r w:rsidRPr="00E53E52">
        <w:rPr>
          <w:rFonts w:ascii="Century Schoolbook" w:hAnsi="Century Schoolbook"/>
          <w:i/>
        </w:rPr>
        <w:t>See</w:t>
      </w:r>
      <w:r w:rsidRPr="00E53E52">
        <w:rPr>
          <w:rFonts w:ascii="Century Schoolbook" w:hAnsi="Century Schoolbook"/>
        </w:rPr>
        <w:t xml:space="preserve"> U.S. Citizenship and Immigration Services, Policy Memorandum PM-602-0162, </w:t>
      </w:r>
      <w:r w:rsidRPr="00E53E52">
        <w:rPr>
          <w:rFonts w:ascii="Century Schoolbook" w:hAnsi="Century Schoolbook"/>
          <w:i/>
        </w:rPr>
        <w:t>Guidance for Processing Reasonable Fear, Credible Fear, Asylum, and Refugee Claims in Accordance with Matter of A-B-</w:t>
      </w:r>
      <w:r w:rsidRPr="00E53E52">
        <w:rPr>
          <w:rFonts w:ascii="Century Schoolbook" w:hAnsi="Century Schoolbook"/>
        </w:rPr>
        <w:t>, July 11, 2018.</w:t>
      </w:r>
    </w:p>
    <w:p w14:paraId="2B245C53" w14:textId="77777777" w:rsidR="00635EA9" w:rsidRPr="00E53E52" w:rsidRDefault="00635EA9" w:rsidP="00635EA9">
      <w:pPr>
        <w:pStyle w:val="BodyText"/>
        <w:widowControl/>
        <w:ind w:firstLine="720"/>
        <w:rPr>
          <w:rFonts w:ascii="Century Schoolbook" w:hAnsi="Century Schoolbook"/>
        </w:rPr>
      </w:pPr>
      <w:r w:rsidRPr="00E53E52">
        <w:rPr>
          <w:rFonts w:ascii="Century Schoolbook" w:hAnsi="Century Schoolbook"/>
        </w:rPr>
        <w:t xml:space="preserve">2. </w:t>
      </w:r>
      <w:r w:rsidRPr="00E53E52">
        <w:rPr>
          <w:rFonts w:ascii="Century Schoolbook" w:hAnsi="Century Schoolbook" w:cs="Times New Roman"/>
          <w:i/>
        </w:rPr>
        <w:t>Matter of A-B-</w:t>
      </w:r>
      <w:r w:rsidRPr="00E53E52">
        <w:rPr>
          <w:rFonts w:ascii="Century Schoolbook" w:hAnsi="Century Schoolbook" w:cs="Times New Roman"/>
        </w:rPr>
        <w:t xml:space="preserve"> </w:t>
      </w:r>
      <w:r w:rsidRPr="00E53E52">
        <w:rPr>
          <w:rFonts w:ascii="Century Schoolbook" w:hAnsi="Century Schoolbook"/>
        </w:rPr>
        <w:t xml:space="preserve">cites </w:t>
      </w:r>
      <w:r w:rsidRPr="00E53E52">
        <w:rPr>
          <w:rFonts w:ascii="Century Schoolbook" w:hAnsi="Century Schoolbook" w:cs="Times New Roman"/>
        </w:rPr>
        <w:t xml:space="preserve">with approval two BIA decisions: </w:t>
      </w:r>
      <w:r w:rsidRPr="00E53E52">
        <w:rPr>
          <w:rFonts w:ascii="Century Schoolbook" w:hAnsi="Century Schoolbook" w:cs="Times New Roman"/>
          <w:i/>
          <w:iCs/>
        </w:rPr>
        <w:t>M-E-V-G-</w:t>
      </w:r>
      <w:r w:rsidRPr="00E53E52">
        <w:rPr>
          <w:rFonts w:ascii="Century Schoolbook" w:hAnsi="Century Schoolbook" w:cs="Times New Roman"/>
        </w:rPr>
        <w:t xml:space="preserve"> (casebook page 842) and </w:t>
      </w:r>
      <w:r w:rsidRPr="00E53E52">
        <w:rPr>
          <w:rFonts w:ascii="Century Schoolbook" w:hAnsi="Century Schoolbook" w:cs="Times New Roman"/>
          <w:i/>
          <w:iCs/>
        </w:rPr>
        <w:t>W-G-R-</w:t>
      </w:r>
      <w:r w:rsidRPr="00E53E52">
        <w:rPr>
          <w:rFonts w:ascii="Century Schoolbook" w:hAnsi="Century Schoolbook" w:cs="Times New Roman"/>
        </w:rPr>
        <w:t xml:space="preserve"> (casebook page 854). Both BIA decisions involved asylum claims that cited gang violence to try to establish persecution on account of membership in a particular social group. Does </w:t>
      </w:r>
      <w:r w:rsidRPr="00E53E52">
        <w:rPr>
          <w:rFonts w:ascii="Century Schoolbook" w:hAnsi="Century Schoolbook" w:cs="Times New Roman"/>
          <w:i/>
        </w:rPr>
        <w:t>Matter of A-B-</w:t>
      </w:r>
      <w:r w:rsidRPr="00E53E52">
        <w:rPr>
          <w:rFonts w:ascii="Century Schoolbook" w:hAnsi="Century Schoolbook" w:cs="Times New Roman"/>
        </w:rPr>
        <w:t xml:space="preserve"> maintain or narrow the possibilities that </w:t>
      </w:r>
      <w:r w:rsidRPr="00E53E52">
        <w:rPr>
          <w:rFonts w:ascii="Century Schoolbook" w:hAnsi="Century Schoolbook" w:cs="Times New Roman"/>
          <w:i/>
          <w:iCs/>
        </w:rPr>
        <w:t>M-E-V-G-</w:t>
      </w:r>
      <w:r w:rsidRPr="00E53E52">
        <w:rPr>
          <w:rFonts w:ascii="Century Schoolbook" w:hAnsi="Century Schoolbook" w:cs="Times New Roman"/>
        </w:rPr>
        <w:t xml:space="preserve"> and </w:t>
      </w:r>
      <w:r w:rsidRPr="00E53E52">
        <w:rPr>
          <w:rFonts w:ascii="Century Schoolbook" w:hAnsi="Century Schoolbook" w:cs="Times New Roman"/>
          <w:i/>
          <w:iCs/>
        </w:rPr>
        <w:t>W-G-R-</w:t>
      </w:r>
      <w:r w:rsidRPr="00E53E52">
        <w:rPr>
          <w:rFonts w:ascii="Century Schoolbook" w:hAnsi="Century Schoolbook" w:cs="Times New Roman"/>
        </w:rPr>
        <w:t xml:space="preserve"> appeared to leave open for asylum claims based on gang violence? </w:t>
      </w:r>
    </w:p>
    <w:p w14:paraId="2CF6A7E8" w14:textId="77777777" w:rsidR="00635EA9" w:rsidRPr="00E53E52" w:rsidRDefault="00635EA9" w:rsidP="00635EA9">
      <w:pPr>
        <w:pStyle w:val="BodyText"/>
        <w:widowControl/>
        <w:ind w:firstLine="720"/>
        <w:rPr>
          <w:rFonts w:ascii="Century Schoolbook" w:hAnsi="Century Schoolbook"/>
          <w:color w:val="212121"/>
        </w:rPr>
      </w:pPr>
      <w:r w:rsidRPr="00E53E52">
        <w:rPr>
          <w:rFonts w:ascii="Century Schoolbook" w:hAnsi="Century Schoolbook"/>
        </w:rPr>
        <w:lastRenderedPageBreak/>
        <w:t xml:space="preserve">3. </w:t>
      </w:r>
      <w:r w:rsidRPr="00E53E52">
        <w:rPr>
          <w:rFonts w:ascii="Century Schoolbook" w:hAnsi="Century Schoolbook" w:cs="Times New Roman"/>
        </w:rPr>
        <w:t xml:space="preserve">As noted in </w:t>
      </w:r>
      <w:r w:rsidRPr="00E53E52">
        <w:rPr>
          <w:rFonts w:ascii="Century Schoolbook" w:hAnsi="Century Schoolbook" w:cs="Times New Roman"/>
          <w:i/>
        </w:rPr>
        <w:t>Matter of A-B-</w:t>
      </w:r>
      <w:r w:rsidRPr="00E53E52">
        <w:rPr>
          <w:rFonts w:ascii="Century Schoolbook" w:hAnsi="Century Schoolbook" w:cs="Times New Roman"/>
        </w:rPr>
        <w:t xml:space="preserve">, the BIA held earlier in 2018 that an applicant seeking asylum or withholding of removal based on membership in a particular social group must clearly indicate, on the record and before the immigration judge, the exact delineation of any proposed particular social group. </w:t>
      </w:r>
      <w:r w:rsidRPr="00E53E52">
        <w:rPr>
          <w:rFonts w:ascii="Century Schoolbook" w:hAnsi="Century Schoolbook" w:cs="Times New Roman"/>
          <w:i/>
          <w:iCs/>
        </w:rPr>
        <w:t>See Matter of W-Y-C- &amp; H-O-B-</w:t>
      </w:r>
      <w:r w:rsidRPr="00E53E52">
        <w:rPr>
          <w:rFonts w:ascii="Century Schoolbook" w:hAnsi="Century Schoolbook" w:cs="Times New Roman"/>
        </w:rPr>
        <w:t xml:space="preserve">, 27 I&amp;N Dec. 189, 190-91 (BIA 2018). In other words, the </w:t>
      </w:r>
      <w:r w:rsidRPr="00E53E52">
        <w:rPr>
          <w:rFonts w:ascii="Century Schoolbook" w:hAnsi="Century Schoolbook"/>
          <w:color w:val="212121"/>
        </w:rPr>
        <w:t xml:space="preserve">BIA generally will not address a newly articulated </w:t>
      </w:r>
      <w:r w:rsidRPr="00E53E52">
        <w:rPr>
          <w:rFonts w:ascii="Century Schoolbook" w:hAnsi="Century Schoolbook" w:cs="Times New Roman"/>
        </w:rPr>
        <w:t xml:space="preserve">particular social group </w:t>
      </w:r>
      <w:r w:rsidRPr="00E53E52">
        <w:rPr>
          <w:rFonts w:ascii="Century Schoolbook" w:hAnsi="Century Schoolbook"/>
          <w:color w:val="212121"/>
        </w:rPr>
        <w:t>that was not advanced before the immigration judge.</w:t>
      </w:r>
    </w:p>
    <w:p w14:paraId="0D943B43" w14:textId="729BAE89" w:rsidR="00635EA9" w:rsidRPr="00E53E52" w:rsidRDefault="00635EA9" w:rsidP="00635EA9">
      <w:pPr>
        <w:pStyle w:val="BodyText"/>
        <w:widowControl/>
        <w:ind w:firstLine="720"/>
        <w:rPr>
          <w:rFonts w:ascii="Century Schoolbook" w:hAnsi="Century Schoolbook"/>
          <w:color w:val="212121"/>
        </w:rPr>
      </w:pPr>
      <w:r w:rsidRPr="00E53E52">
        <w:rPr>
          <w:rFonts w:ascii="Century Schoolbook" w:hAnsi="Century Schoolbook"/>
          <w:color w:val="212121"/>
        </w:rPr>
        <w:t xml:space="preserve">4. </w:t>
      </w:r>
      <w:r w:rsidRPr="00E53E52">
        <w:rPr>
          <w:rFonts w:ascii="Century Schoolbook" w:hAnsi="Century Schoolbook" w:cs="Times New Roman"/>
          <w:i/>
        </w:rPr>
        <w:t>Matter of A-B-</w:t>
      </w:r>
      <w:r w:rsidRPr="00E53E52">
        <w:rPr>
          <w:rFonts w:ascii="Century Schoolbook" w:hAnsi="Century Schoolbook" w:cs="Times New Roman"/>
        </w:rPr>
        <w:t xml:space="preserve"> </w:t>
      </w:r>
      <w:r w:rsidRPr="00E53E52">
        <w:rPr>
          <w:rFonts w:ascii="Century Schoolbook" w:hAnsi="Century Schoolbook"/>
          <w:color w:val="212121"/>
        </w:rPr>
        <w:t xml:space="preserve">reaches beyond the domestic violence context in this particular case to address several key issues that arise in many asylum cases, including gang violence, harm perpetrated by nongovernmental actors more generally, BIA review of immigration judges’ credibility determinations and factual findings more generally, and as noted in connection with materials </w:t>
      </w:r>
      <w:r w:rsidRPr="00E53E52">
        <w:rPr>
          <w:rFonts w:ascii="Century Schoolbook" w:hAnsi="Century Schoolbook"/>
        </w:rPr>
        <w:t xml:space="preserve">at the material in this Update for casebook page </w:t>
      </w:r>
      <w:r w:rsidR="007F4206" w:rsidRPr="00E53E52">
        <w:rPr>
          <w:rFonts w:ascii="Century Schoolbook" w:hAnsi="Century Schoolbook"/>
        </w:rPr>
        <w:t>246</w:t>
      </w:r>
      <w:r w:rsidRPr="00E53E52">
        <w:rPr>
          <w:rFonts w:ascii="Century Schoolbook" w:hAnsi="Century Schoolbook"/>
        </w:rPr>
        <w:t xml:space="preserve">, </w:t>
      </w:r>
      <w:r w:rsidRPr="00E53E52">
        <w:rPr>
          <w:rFonts w:ascii="Century Schoolbook" w:hAnsi="Century Schoolbook"/>
          <w:color w:val="212121"/>
        </w:rPr>
        <w:t>on discretionary denials of asylum.</w:t>
      </w:r>
    </w:p>
    <w:p w14:paraId="4D775981" w14:textId="77777777" w:rsidR="007E3944" w:rsidRPr="00E53E52" w:rsidRDefault="007E3944" w:rsidP="007E3944">
      <w:pPr>
        <w:ind w:firstLine="720"/>
        <w:jc w:val="both"/>
        <w:rPr>
          <w:rFonts w:ascii="Century Schoolbook" w:hAnsi="Century Schoolbook"/>
        </w:rPr>
      </w:pPr>
      <w:r w:rsidRPr="00E53E52">
        <w:rPr>
          <w:rFonts w:ascii="Century Schoolbook" w:hAnsi="Century Schoolbook"/>
        </w:rPr>
        <w:t xml:space="preserve">5. </w:t>
      </w:r>
      <w:r w:rsidRPr="00E53E52">
        <w:rPr>
          <w:rFonts w:ascii="Century Schoolbook" w:eastAsiaTheme="minorEastAsia" w:hAnsi="Century Schoolbook" w:cs="Times New Roman"/>
        </w:rPr>
        <w:t xml:space="preserve">In December 2018, the federal district court for the District of Columbia issued a permanent injunction blocking the application of the new asylum standards set forth in </w:t>
      </w:r>
      <w:r w:rsidRPr="00E53E52">
        <w:rPr>
          <w:rFonts w:ascii="Century Schoolbook" w:eastAsiaTheme="minorEastAsia" w:hAnsi="Century Schoolbook" w:cs="Times New Roman"/>
          <w:i/>
          <w:iCs/>
        </w:rPr>
        <w:t>Matter of A-B-</w:t>
      </w:r>
      <w:r w:rsidRPr="00E53E52">
        <w:rPr>
          <w:rFonts w:ascii="Century Schoolbook" w:eastAsiaTheme="minorEastAsia" w:hAnsi="Century Schoolbook" w:cs="Times New Roman"/>
        </w:rPr>
        <w:t xml:space="preserve"> and the subsequent Policy Memorandum to credible fear interviews. </w:t>
      </w:r>
      <w:r w:rsidRPr="00E53E52">
        <w:rPr>
          <w:rFonts w:ascii="Century Schoolbook" w:eastAsiaTheme="minorEastAsia" w:hAnsi="Century Schoolbook" w:cs="Times New Roman"/>
          <w:i/>
          <w:iCs/>
        </w:rPr>
        <w:t>See Grace v. Whitaker</w:t>
      </w:r>
      <w:r w:rsidRPr="00E53E52">
        <w:rPr>
          <w:rFonts w:ascii="Century Schoolbook" w:eastAsiaTheme="minorEastAsia" w:hAnsi="Century Schoolbook" w:cs="Times New Roman"/>
        </w:rPr>
        <w:t xml:space="preserve">, 344 F. Supp. 3d 96 (D.D.C. 2018). The court found that applying these more restrictive standards to credible fear interviews would violate the Immigration and Nationality Act and the Administrative Procedure Act. The injunction does not directly affect the application of </w:t>
      </w:r>
      <w:r w:rsidRPr="00E53E52">
        <w:rPr>
          <w:rFonts w:ascii="Century Schoolbook" w:eastAsiaTheme="minorEastAsia" w:hAnsi="Century Schoolbook" w:cs="Times New Roman"/>
          <w:i/>
          <w:iCs/>
        </w:rPr>
        <w:t>Matter of A-B-</w:t>
      </w:r>
      <w:r w:rsidRPr="00E53E52">
        <w:rPr>
          <w:rFonts w:ascii="Century Schoolbook" w:eastAsiaTheme="minorEastAsia" w:hAnsi="Century Schoolbook" w:cs="Times New Roman"/>
        </w:rPr>
        <w:t xml:space="preserve"> to the ultimate decisions in asylum cases. </w:t>
      </w:r>
    </w:p>
    <w:p w14:paraId="717C5370" w14:textId="77777777" w:rsidR="00635EA9" w:rsidRPr="00E53E52" w:rsidRDefault="00635EA9" w:rsidP="00635EA9">
      <w:pPr>
        <w:pStyle w:val="BodyText"/>
        <w:widowControl/>
        <w:ind w:firstLine="720"/>
        <w:rPr>
          <w:rFonts w:ascii="Century Schoolbook" w:hAnsi="Century Schoolbook"/>
        </w:rPr>
      </w:pPr>
      <w:r w:rsidRPr="00E53E52">
        <w:rPr>
          <w:rFonts w:ascii="Century Schoolbook" w:hAnsi="Century Schoolbook" w:cs="Times New Roman"/>
        </w:rPr>
        <w:t>6.</w:t>
      </w:r>
      <w:r w:rsidRPr="00E53E52">
        <w:rPr>
          <w:rFonts w:ascii="Century Schoolbook" w:hAnsi="Century Schoolbook" w:cs="Times New Roman"/>
          <w:i/>
        </w:rPr>
        <w:t xml:space="preserve"> Matter of A-B-</w:t>
      </w:r>
      <w:r w:rsidRPr="00E53E52">
        <w:rPr>
          <w:rFonts w:ascii="Century Schoolbook" w:hAnsi="Century Schoolbook" w:cs="Times New Roman"/>
        </w:rPr>
        <w:t xml:space="preserve"> explicitly a</w:t>
      </w:r>
      <w:r w:rsidRPr="00E53E52">
        <w:rPr>
          <w:rFonts w:ascii="Century Schoolbook" w:hAnsi="Century Schoolbook"/>
        </w:rPr>
        <w:t>nticipates the likelihood that unsuccessful asylum applicants will seek review in the federal courts of appeals.</w:t>
      </w:r>
      <w:r w:rsidRPr="00E53E52">
        <w:rPr>
          <w:rFonts w:ascii="Century Schoolbook" w:hAnsi="Century Schoolbook" w:cs="Times New Roman"/>
        </w:rPr>
        <w:t xml:space="preserve"> The general rule in </w:t>
      </w:r>
      <w:r w:rsidRPr="00E53E52">
        <w:rPr>
          <w:rFonts w:ascii="Century Schoolbook" w:hAnsi="Century Schoolbook" w:cs="Times New Roman"/>
          <w:i/>
          <w:iCs/>
        </w:rPr>
        <w:t>Chevron, U.S.A., Inc. v. Natural Res. Def. Council, Inc.</w:t>
      </w:r>
      <w:r w:rsidRPr="00E53E52">
        <w:rPr>
          <w:rFonts w:ascii="Century Schoolbook" w:hAnsi="Century Schoolbook" w:cs="Times New Roman"/>
        </w:rPr>
        <w:t>, 467 U.S. 837, 844 (1984), is that a federal court of appeals must defer to a reasonable agency interpretation of an ambiguous statute. The U.S. Supreme Court later held in</w:t>
      </w:r>
      <w:r w:rsidRPr="00E53E52">
        <w:rPr>
          <w:rFonts w:ascii="Century Schoolbook" w:hAnsi="Century Schoolbook"/>
        </w:rPr>
        <w:t xml:space="preserve"> </w:t>
      </w:r>
      <w:r w:rsidRPr="00E53E52">
        <w:rPr>
          <w:rFonts w:ascii="Century Schoolbook" w:hAnsi="Century Schoolbook" w:cs="Times New Roman"/>
          <w:i/>
          <w:iCs/>
        </w:rPr>
        <w:t>Nat’l Cable &amp; Telecomms. Ass’n v. Brand X Internet Servs</w:t>
      </w:r>
      <w:r w:rsidRPr="00E53E52">
        <w:rPr>
          <w:rFonts w:ascii="Century Schoolbook" w:hAnsi="Century Schoolbook" w:cs="Times New Roman"/>
        </w:rPr>
        <w:t xml:space="preserve">., 545 U.S. 967, 980 (2005), such deference is due even when the agency interpretation postdates the court of appeals decision. See casebook pages 292-95. Are there persuasive arguments that a federal court of appeals should not defer to </w:t>
      </w:r>
      <w:r w:rsidRPr="00E53E52">
        <w:rPr>
          <w:rFonts w:ascii="Century Schoolbook" w:hAnsi="Century Schoolbook" w:cs="Times New Roman"/>
          <w:i/>
        </w:rPr>
        <w:t>Matter of A-B-</w:t>
      </w:r>
      <w:r w:rsidRPr="00E53E52">
        <w:rPr>
          <w:rFonts w:ascii="Century Schoolbook" w:hAnsi="Century Schoolbook" w:cs="Times New Roman"/>
        </w:rPr>
        <w:t>?</w:t>
      </w:r>
    </w:p>
    <w:p w14:paraId="6EF29C96" w14:textId="77777777" w:rsidR="00116FF7" w:rsidRPr="00E53E52" w:rsidRDefault="00116FF7" w:rsidP="001D1D6E">
      <w:pPr>
        <w:spacing w:after="120"/>
        <w:rPr>
          <w:rFonts w:ascii="Century Schoolbook" w:hAnsi="Century Schoolbook"/>
          <w:b/>
          <w:caps/>
        </w:rPr>
      </w:pPr>
      <w:r w:rsidRPr="00E53E52">
        <w:rPr>
          <w:rFonts w:ascii="Century Schoolbook" w:hAnsi="Century Schoolbook"/>
          <w:b/>
          <w:caps/>
        </w:rPr>
        <w:br w:type="page"/>
      </w:r>
    </w:p>
    <w:p w14:paraId="6C6E25A5" w14:textId="77777777" w:rsidR="00A06E6B" w:rsidRPr="00E53E52" w:rsidRDefault="00A06E6B" w:rsidP="001D1D6E">
      <w:pPr>
        <w:spacing w:after="120"/>
        <w:jc w:val="center"/>
        <w:outlineLvl w:val="0"/>
        <w:rPr>
          <w:rFonts w:ascii="Century Schoolbook" w:hAnsi="Century Schoolbook"/>
          <w:b/>
          <w:caps/>
        </w:rPr>
      </w:pPr>
      <w:r w:rsidRPr="00E53E52">
        <w:rPr>
          <w:rFonts w:ascii="Century Schoolbook" w:hAnsi="Century Schoolbook"/>
          <w:b/>
          <w:caps/>
        </w:rPr>
        <w:lastRenderedPageBreak/>
        <w:t>chapter five</w:t>
      </w:r>
    </w:p>
    <w:p w14:paraId="58A70E38" w14:textId="77777777" w:rsidR="00A06E6B" w:rsidRPr="00E53E52" w:rsidRDefault="00A06E6B" w:rsidP="001D1D6E">
      <w:pPr>
        <w:spacing w:after="120"/>
        <w:jc w:val="center"/>
        <w:rPr>
          <w:rFonts w:ascii="Century Schoolbook" w:hAnsi="Century Schoolbook"/>
          <w:b/>
          <w:caps/>
        </w:rPr>
      </w:pPr>
      <w:r w:rsidRPr="00E53E52">
        <w:rPr>
          <w:rFonts w:ascii="Century Schoolbook" w:hAnsi="Century Schoolbook"/>
          <w:b/>
          <w:caps/>
        </w:rPr>
        <w:t>gender and persecution</w:t>
      </w:r>
    </w:p>
    <w:p w14:paraId="1BD96E1C" w14:textId="77777777" w:rsidR="00DA007B" w:rsidRPr="00E53E52" w:rsidRDefault="00DA007B" w:rsidP="001D1D6E">
      <w:pPr>
        <w:spacing w:after="120"/>
        <w:rPr>
          <w:rFonts w:ascii="Century Schoolbook" w:hAnsi="Century Schoolbook"/>
          <w:b/>
        </w:rPr>
      </w:pPr>
      <w:r w:rsidRPr="00E53E52">
        <w:rPr>
          <w:rFonts w:ascii="Century Schoolbook" w:hAnsi="Century Schoolbook"/>
          <w:b/>
        </w:rPr>
        <w:t xml:space="preserve">p. 421, </w:t>
      </w:r>
      <w:r w:rsidR="009A73E2" w:rsidRPr="00E53E52">
        <w:rPr>
          <w:rFonts w:ascii="Century Schoolbook" w:hAnsi="Century Schoolbook"/>
          <w:b/>
        </w:rPr>
        <w:t>a</w:t>
      </w:r>
      <w:r w:rsidR="00A75789" w:rsidRPr="00E53E52">
        <w:rPr>
          <w:rFonts w:ascii="Century Schoolbook" w:hAnsi="Century Schoolbook"/>
          <w:b/>
        </w:rPr>
        <w:t>dd new Notes 2 and 3</w:t>
      </w:r>
      <w:r w:rsidRPr="00E53E52">
        <w:rPr>
          <w:rFonts w:ascii="Century Schoolbook" w:hAnsi="Century Schoolbook"/>
          <w:b/>
        </w:rPr>
        <w:t>:</w:t>
      </w:r>
    </w:p>
    <w:p w14:paraId="7F61F3FF" w14:textId="08B2995C" w:rsidR="00F510BE" w:rsidRPr="00E53E52" w:rsidRDefault="00F510BE" w:rsidP="0036367F">
      <w:pPr>
        <w:spacing w:before="100" w:after="120"/>
        <w:ind w:firstLine="720"/>
        <w:jc w:val="both"/>
        <w:rPr>
          <w:rStyle w:val="N"/>
          <w:rFonts w:ascii="Century Schoolbook" w:hAnsi="Century Schoolbook"/>
        </w:rPr>
      </w:pPr>
      <w:r w:rsidRPr="00E53E52">
        <w:rPr>
          <w:rStyle w:val="N"/>
          <w:rFonts w:ascii="Century Schoolbook" w:hAnsi="Century Schoolbook"/>
        </w:rPr>
        <w:t>2.</w:t>
      </w:r>
      <w:r w:rsidR="00810FDA" w:rsidRPr="00E53E52">
        <w:rPr>
          <w:rStyle w:val="N"/>
          <w:rFonts w:ascii="Century Schoolbook" w:hAnsi="Century Schoolbook"/>
        </w:rPr>
        <w:t xml:space="preserve"> </w:t>
      </w:r>
      <w:r w:rsidRPr="00E53E52">
        <w:rPr>
          <w:rStyle w:val="N"/>
          <w:rFonts w:ascii="Century Schoolbook" w:hAnsi="Century Schoolbook"/>
        </w:rPr>
        <w:t xml:space="preserve">The UN Convention on the Abolition of Slavery and Institutions and Practices Similar to Slavery calls on states to abolish slavery-like institutions, defined to include debt bondage, serfdom, and </w:t>
      </w:r>
    </w:p>
    <w:p w14:paraId="6BDA76F1" w14:textId="77777777" w:rsidR="00F510BE" w:rsidRPr="00E53E52" w:rsidRDefault="00F510BE" w:rsidP="001D1D6E">
      <w:pPr>
        <w:pStyle w:val="ListParagraph"/>
        <w:shd w:val="clear" w:color="auto" w:fill="FFFFFF"/>
        <w:spacing w:after="120"/>
        <w:ind w:right="720" w:firstLine="720"/>
        <w:jc w:val="both"/>
        <w:rPr>
          <w:rFonts w:ascii="Century Schoolbook" w:hAnsi="Century Schoolbook"/>
          <w:color w:val="000000"/>
        </w:rPr>
      </w:pPr>
      <w:r w:rsidRPr="00E53E52">
        <w:rPr>
          <w:rFonts w:ascii="Century Schoolbook" w:hAnsi="Century Schoolbook"/>
          <w:color w:val="000000"/>
        </w:rPr>
        <w:t>(c) Any institution or practice whereby:</w:t>
      </w:r>
    </w:p>
    <w:p w14:paraId="3711FEC0" w14:textId="77777777" w:rsidR="00F510BE" w:rsidRPr="00E53E52" w:rsidRDefault="00F510BE" w:rsidP="001D1D6E">
      <w:pPr>
        <w:pStyle w:val="ListParagraph"/>
        <w:shd w:val="clear" w:color="auto" w:fill="FFFFFF"/>
        <w:spacing w:after="120"/>
        <w:ind w:left="1440" w:right="720" w:firstLine="720"/>
        <w:jc w:val="both"/>
        <w:rPr>
          <w:rFonts w:ascii="Century Schoolbook" w:hAnsi="Century Schoolbook"/>
          <w:color w:val="000000"/>
        </w:rPr>
      </w:pPr>
      <w:r w:rsidRPr="00E53E52">
        <w:rPr>
          <w:rFonts w:ascii="Century Schoolbook" w:hAnsi="Century Schoolbook"/>
          <w:color w:val="000000"/>
        </w:rPr>
        <w:t>(i) A woman, without the right to refuse, is promised or given in marriage on payment of a consideration in money or in kind to her parents, guardian, family or any other person or group; or</w:t>
      </w:r>
    </w:p>
    <w:p w14:paraId="4866E7B0" w14:textId="48693906" w:rsidR="00F510BE" w:rsidRPr="00E53E52" w:rsidRDefault="00F510BE" w:rsidP="001D1D6E">
      <w:pPr>
        <w:pStyle w:val="ListParagraph"/>
        <w:shd w:val="clear" w:color="auto" w:fill="FFFFFF"/>
        <w:spacing w:after="120"/>
        <w:ind w:left="1440" w:right="720" w:firstLine="720"/>
        <w:jc w:val="both"/>
        <w:rPr>
          <w:rFonts w:ascii="Century Schoolbook" w:hAnsi="Century Schoolbook"/>
          <w:color w:val="000000"/>
        </w:rPr>
      </w:pPr>
      <w:r w:rsidRPr="00E53E52">
        <w:rPr>
          <w:rFonts w:ascii="Century Schoolbook" w:hAnsi="Century Schoolbook"/>
          <w:color w:val="000000"/>
        </w:rPr>
        <w:t>(ii) The husband of a woman, his family, or his clan, has the right to transfer her to another person for value received or otherwise; or</w:t>
      </w:r>
    </w:p>
    <w:p w14:paraId="2ED31FE8" w14:textId="77777777" w:rsidR="00F510BE" w:rsidRPr="00E53E52" w:rsidRDefault="00F510BE" w:rsidP="001D1D6E">
      <w:pPr>
        <w:pStyle w:val="ListParagraph"/>
        <w:shd w:val="clear" w:color="auto" w:fill="FFFFFF"/>
        <w:spacing w:after="120"/>
        <w:ind w:left="1440" w:right="720" w:firstLine="720"/>
        <w:jc w:val="both"/>
        <w:rPr>
          <w:rFonts w:ascii="Century Schoolbook" w:hAnsi="Century Schoolbook"/>
          <w:color w:val="000000"/>
        </w:rPr>
      </w:pPr>
      <w:r w:rsidRPr="00E53E52">
        <w:rPr>
          <w:rFonts w:ascii="Century Schoolbook" w:hAnsi="Century Schoolbook"/>
          <w:color w:val="000000"/>
        </w:rPr>
        <w:t xml:space="preserve">(iii) A woman on the death of her husband is liable to be inherited by another person. </w:t>
      </w:r>
    </w:p>
    <w:p w14:paraId="747BE05E" w14:textId="77777777" w:rsidR="00F510BE" w:rsidRPr="00E53E52" w:rsidRDefault="00F510BE" w:rsidP="001D1D6E">
      <w:pPr>
        <w:spacing w:before="100" w:after="120"/>
        <w:jc w:val="both"/>
        <w:rPr>
          <w:rFonts w:ascii="Century Schoolbook" w:hAnsi="Century Schoolbook"/>
          <w:bCs/>
          <w:color w:val="303030"/>
        </w:rPr>
      </w:pPr>
      <w:r w:rsidRPr="00E53E52">
        <w:rPr>
          <w:rFonts w:ascii="Century Schoolbook" w:hAnsi="Century Schoolbook"/>
          <w:bCs/>
          <w:color w:val="303030"/>
        </w:rPr>
        <w:t xml:space="preserve">Art. 1, Supplementary Convention on the Abolition of Slavery, the Slave Trade, and Institutions and Practices Similar to Slavery, 226 U.N.T.S. 3, T.I.A.S. No. 6418, </w:t>
      </w:r>
      <w:r w:rsidR="002C3D13" w:rsidRPr="00E53E52">
        <w:rPr>
          <w:rFonts w:ascii="Century Schoolbook" w:hAnsi="Century Schoolbook"/>
          <w:bCs/>
          <w:color w:val="303030"/>
        </w:rPr>
        <w:t>signed Sept.</w:t>
      </w:r>
      <w:r w:rsidRPr="00E53E52">
        <w:rPr>
          <w:rFonts w:ascii="Century Schoolbook" w:hAnsi="Century Schoolbook"/>
          <w:bCs/>
          <w:color w:val="303030"/>
        </w:rPr>
        <w:t xml:space="preserve"> 7, 1956. More than 120 States are parties. The Convention entered into force with regard to the United States on Dec. 6, 1967, 18 U.S.T. 3201.</w:t>
      </w:r>
    </w:p>
    <w:p w14:paraId="4F5B753A" w14:textId="2AFAEDDB" w:rsidR="00F510BE" w:rsidRPr="00E53E52" w:rsidRDefault="00F510BE" w:rsidP="0036367F">
      <w:pPr>
        <w:spacing w:before="100" w:after="120"/>
        <w:ind w:firstLine="720"/>
        <w:jc w:val="both"/>
        <w:rPr>
          <w:rStyle w:val="N"/>
          <w:rFonts w:ascii="Century Schoolbook" w:hAnsi="Century Schoolbook"/>
        </w:rPr>
      </w:pPr>
      <w:r w:rsidRPr="00E53E52">
        <w:rPr>
          <w:rStyle w:val="N"/>
          <w:rFonts w:ascii="Century Schoolbook" w:hAnsi="Century Schoolbook"/>
        </w:rPr>
        <w:t>3.</w:t>
      </w:r>
      <w:r w:rsidR="00810FDA" w:rsidRPr="00E53E52">
        <w:rPr>
          <w:rStyle w:val="N"/>
          <w:rFonts w:ascii="Century Schoolbook" w:hAnsi="Century Schoolbook"/>
        </w:rPr>
        <w:t xml:space="preserve"> </w:t>
      </w:r>
      <w:r w:rsidRPr="00E53E52">
        <w:rPr>
          <w:rStyle w:val="N"/>
          <w:rFonts w:ascii="Century Schoolbook" w:hAnsi="Century Schoolbook"/>
        </w:rPr>
        <w:t xml:space="preserve">Courts and commentators have sometimes used the terms </w:t>
      </w:r>
      <w:r w:rsidR="00C909C4" w:rsidRPr="00E53E52">
        <w:rPr>
          <w:rStyle w:val="N"/>
          <w:rFonts w:ascii="Century Schoolbook" w:hAnsi="Century Schoolbook"/>
        </w:rPr>
        <w:t>“</w:t>
      </w:r>
      <w:r w:rsidRPr="00E53E52">
        <w:rPr>
          <w:rStyle w:val="N"/>
          <w:rFonts w:ascii="Century Schoolbook" w:hAnsi="Century Schoolbook"/>
        </w:rPr>
        <w:t>forced marriage</w:t>
      </w:r>
      <w:r w:rsidR="00C909C4" w:rsidRPr="00E53E52">
        <w:rPr>
          <w:rStyle w:val="N"/>
          <w:rFonts w:ascii="Century Schoolbook" w:hAnsi="Century Schoolbook"/>
        </w:rPr>
        <w:t>”</w:t>
      </w:r>
      <w:r w:rsidRPr="00E53E52">
        <w:rPr>
          <w:rStyle w:val="N"/>
          <w:rFonts w:ascii="Century Schoolbook" w:hAnsi="Century Schoolbook"/>
        </w:rPr>
        <w:t xml:space="preserve"> and </w:t>
      </w:r>
      <w:r w:rsidR="00C909C4" w:rsidRPr="00E53E52">
        <w:rPr>
          <w:rStyle w:val="N"/>
          <w:rFonts w:ascii="Century Schoolbook" w:hAnsi="Century Schoolbook"/>
        </w:rPr>
        <w:t>“</w:t>
      </w:r>
      <w:r w:rsidRPr="00E53E52">
        <w:rPr>
          <w:rStyle w:val="N"/>
          <w:rFonts w:ascii="Century Schoolbook" w:hAnsi="Century Schoolbook"/>
        </w:rPr>
        <w:t>arranged marriage</w:t>
      </w:r>
      <w:r w:rsidR="00C909C4" w:rsidRPr="00E53E52">
        <w:rPr>
          <w:rStyle w:val="N"/>
          <w:rFonts w:ascii="Century Schoolbook" w:hAnsi="Century Schoolbook"/>
        </w:rPr>
        <w:t>”</w:t>
      </w:r>
      <w:r w:rsidRPr="00E53E52">
        <w:rPr>
          <w:rStyle w:val="N"/>
          <w:rFonts w:ascii="Century Schoolbook" w:hAnsi="Century Schoolbook"/>
        </w:rPr>
        <w:t xml:space="preserve"> interchangeably. The U.K. Foreign and Commonwealth Office contrasts the two:</w:t>
      </w:r>
    </w:p>
    <w:p w14:paraId="02AD0E50" w14:textId="103DD402" w:rsidR="00F510BE" w:rsidRPr="00E53E52" w:rsidRDefault="00F510BE" w:rsidP="001D1D6E">
      <w:pPr>
        <w:spacing w:after="120"/>
        <w:ind w:left="720" w:right="720"/>
        <w:jc w:val="both"/>
        <w:rPr>
          <w:rStyle w:val="N"/>
          <w:rFonts w:ascii="Century Schoolbook" w:hAnsi="Century Schoolbook"/>
        </w:rPr>
      </w:pPr>
      <w:r w:rsidRPr="00E53E52">
        <w:rPr>
          <w:rFonts w:ascii="Century Schoolbook" w:hAnsi="Century Schoolbook"/>
        </w:rPr>
        <w:t>In arranged marriages, the families of both spouses take a leading role in choosing the marriage partner but the choice of whether or not to accept the arrangement remains with the potential spouses. They give their full and free consent. By contrast, in a forced marriage, one or both spouses do not consent to the marriage or consent is extracted under duress. Duress includes both physical and emotional pressure.</w:t>
      </w:r>
    </w:p>
    <w:p w14:paraId="440AB72E" w14:textId="38232D2C" w:rsidR="00F510BE" w:rsidRPr="00E53E52" w:rsidRDefault="00F510BE" w:rsidP="001D1D6E">
      <w:pPr>
        <w:spacing w:before="100" w:after="120"/>
        <w:jc w:val="both"/>
        <w:rPr>
          <w:rStyle w:val="N"/>
          <w:rFonts w:ascii="Century Schoolbook" w:hAnsi="Century Schoolbook"/>
        </w:rPr>
      </w:pPr>
      <w:r w:rsidRPr="00E53E52">
        <w:rPr>
          <w:rStyle w:val="N"/>
          <w:rFonts w:ascii="Century Schoolbook" w:hAnsi="Century Schoolbook"/>
        </w:rPr>
        <w:t xml:space="preserve">U.K. Foreign and Commonwealth Office, </w:t>
      </w:r>
      <w:r w:rsidRPr="00E53E52">
        <w:rPr>
          <w:rStyle w:val="N"/>
          <w:rFonts w:ascii="Century Schoolbook" w:hAnsi="Century Schoolbook"/>
          <w:i/>
        </w:rPr>
        <w:t>Forced Marriage: A Wrong, Not a Right</w:t>
      </w:r>
      <w:r w:rsidRPr="00E53E52">
        <w:rPr>
          <w:rStyle w:val="N"/>
          <w:rFonts w:ascii="Century Schoolbook" w:hAnsi="Century Schoolbook"/>
        </w:rPr>
        <w:t xml:space="preserve"> 7 (2005).</w:t>
      </w:r>
    </w:p>
    <w:p w14:paraId="6A222851" w14:textId="06C5E647" w:rsidR="003755D5" w:rsidRPr="00E53E52" w:rsidRDefault="00F510BE" w:rsidP="0036367F">
      <w:pPr>
        <w:spacing w:before="100" w:after="120"/>
        <w:ind w:firstLine="720"/>
        <w:jc w:val="both"/>
        <w:rPr>
          <w:rFonts w:ascii="Century Schoolbook" w:hAnsi="Century Schoolbook"/>
        </w:rPr>
      </w:pPr>
      <w:r w:rsidRPr="00E53E52">
        <w:rPr>
          <w:rStyle w:val="N"/>
          <w:rFonts w:ascii="Century Schoolbook" w:hAnsi="Century Schoolbook"/>
        </w:rPr>
        <w:t xml:space="preserve">In the United States, USCIS training materials provide: </w:t>
      </w:r>
      <w:r w:rsidR="00C909C4" w:rsidRPr="00E53E52">
        <w:rPr>
          <w:rStyle w:val="N"/>
          <w:rFonts w:ascii="Century Schoolbook" w:hAnsi="Century Schoolbook"/>
        </w:rPr>
        <w:t>“</w:t>
      </w:r>
      <w:r w:rsidRPr="00E53E52">
        <w:rPr>
          <w:rStyle w:val="N"/>
          <w:rFonts w:ascii="Century Schoolbook" w:hAnsi="Century Schoolbook"/>
        </w:rPr>
        <w:t>Forced marriages * * * may under some circumstances qualify, as a form of persecution. * * * The key question in determining whether a forced marriage might constitute persecution is whether the victim experienced or would experience the marriage, or events surrounding the marriage, as serious harm.</w:t>
      </w:r>
      <w:r w:rsidR="00C909C4" w:rsidRPr="00E53E52">
        <w:rPr>
          <w:rStyle w:val="N"/>
          <w:rFonts w:ascii="Century Schoolbook" w:hAnsi="Century Schoolbook"/>
        </w:rPr>
        <w:t>”</w:t>
      </w:r>
      <w:r w:rsidRPr="00E53E52">
        <w:rPr>
          <w:rStyle w:val="N"/>
          <w:rFonts w:ascii="Century Schoolbook" w:hAnsi="Century Schoolbook"/>
        </w:rPr>
        <w:t xml:space="preserve"> </w:t>
      </w:r>
      <w:r w:rsidRPr="00E53E52">
        <w:rPr>
          <w:rStyle w:val="TF"/>
          <w:rFonts w:ascii="Century Schoolbook" w:hAnsi="Century Schoolbook"/>
        </w:rPr>
        <w:t>Asylum Officer Basic Training Course: Female Asylum Applicants and Gender–Related Claims 15 (March 12, 2009).</w:t>
      </w:r>
    </w:p>
    <w:p w14:paraId="3B719CA5" w14:textId="77777777" w:rsidR="00DA007B" w:rsidRPr="00E53E52" w:rsidRDefault="00A75789" w:rsidP="006E4C5A">
      <w:pPr>
        <w:keepNext/>
        <w:spacing w:after="120"/>
        <w:rPr>
          <w:rFonts w:ascii="Century Schoolbook" w:hAnsi="Century Schoolbook"/>
        </w:rPr>
      </w:pPr>
      <w:r w:rsidRPr="00E53E52">
        <w:rPr>
          <w:rFonts w:ascii="Century Schoolbook" w:hAnsi="Century Schoolbook"/>
          <w:b/>
        </w:rPr>
        <w:t xml:space="preserve">p. 421, delete current Note 2 and renumber current Notes 3 </w:t>
      </w:r>
      <w:r w:rsidR="00831F4E" w:rsidRPr="00E53E52">
        <w:rPr>
          <w:rFonts w:ascii="Century Schoolbook" w:hAnsi="Century Schoolbook"/>
          <w:b/>
        </w:rPr>
        <w:t>–</w:t>
      </w:r>
      <w:r w:rsidRPr="00E53E52">
        <w:rPr>
          <w:rFonts w:ascii="Century Schoolbook" w:hAnsi="Century Schoolbook"/>
          <w:b/>
        </w:rPr>
        <w:t xml:space="preserve"> </w:t>
      </w:r>
      <w:r w:rsidR="00831F4E" w:rsidRPr="00E53E52">
        <w:rPr>
          <w:rFonts w:ascii="Century Schoolbook" w:hAnsi="Century Schoolbook"/>
          <w:b/>
        </w:rPr>
        <w:t>7 as Notes 4 – 8.</w:t>
      </w:r>
    </w:p>
    <w:p w14:paraId="78E67126" w14:textId="77777777" w:rsidR="008806E0" w:rsidRPr="00E53E52" w:rsidRDefault="009D0EE7" w:rsidP="0036367F">
      <w:pPr>
        <w:keepNext/>
        <w:spacing w:after="120"/>
        <w:rPr>
          <w:rFonts w:ascii="Century Schoolbook" w:hAnsi="Century Schoolbook"/>
          <w:b/>
        </w:rPr>
      </w:pPr>
      <w:r w:rsidRPr="00E53E52">
        <w:rPr>
          <w:rFonts w:ascii="Century Schoolbook" w:hAnsi="Century Schoolbook"/>
          <w:b/>
        </w:rPr>
        <w:t xml:space="preserve">p. </w:t>
      </w:r>
      <w:r w:rsidR="00896D76" w:rsidRPr="00E53E52">
        <w:rPr>
          <w:rFonts w:ascii="Century Schoolbook" w:hAnsi="Century Schoolbook"/>
          <w:b/>
        </w:rPr>
        <w:t xml:space="preserve">424, </w:t>
      </w:r>
      <w:r w:rsidR="00C133F3" w:rsidRPr="00E53E52">
        <w:rPr>
          <w:rFonts w:ascii="Century Schoolbook" w:hAnsi="Century Schoolbook"/>
          <w:b/>
        </w:rPr>
        <w:t xml:space="preserve">replace the </w:t>
      </w:r>
      <w:r w:rsidR="008806E0" w:rsidRPr="00E53E52">
        <w:rPr>
          <w:rFonts w:ascii="Century Schoolbook" w:hAnsi="Century Schoolbook"/>
          <w:b/>
        </w:rPr>
        <w:t>second full paragraph as follows:</w:t>
      </w:r>
    </w:p>
    <w:p w14:paraId="3B8FB531" w14:textId="61145966" w:rsidR="008E117D" w:rsidRPr="00E53E52" w:rsidRDefault="008806E0" w:rsidP="0036367F">
      <w:pPr>
        <w:spacing w:before="100" w:after="120"/>
        <w:ind w:firstLine="720"/>
        <w:jc w:val="both"/>
        <w:rPr>
          <w:rFonts w:ascii="Century Schoolbook" w:hAnsi="Century Schoolbook"/>
        </w:rPr>
      </w:pPr>
      <w:r w:rsidRPr="00E53E52">
        <w:rPr>
          <w:rFonts w:ascii="Century Schoolbook" w:hAnsi="Century Schoolbook"/>
        </w:rPr>
        <w:t>Against this background, the BIA considered the case of a</w:t>
      </w:r>
      <w:r w:rsidR="008E117D" w:rsidRPr="00E53E52">
        <w:rPr>
          <w:rFonts w:ascii="Century Schoolbook" w:hAnsi="Century Schoolbook"/>
        </w:rPr>
        <w:t xml:space="preserve"> Moroccan woman who had been abused by her father.</w:t>
      </w:r>
    </w:p>
    <w:p w14:paraId="1326F258" w14:textId="77777777" w:rsidR="009E0C3F" w:rsidRPr="00E53E52" w:rsidRDefault="008E117D" w:rsidP="001D1D6E">
      <w:pPr>
        <w:spacing w:after="120"/>
        <w:rPr>
          <w:rFonts w:ascii="Century Schoolbook" w:hAnsi="Century Schoolbook"/>
          <w:b/>
        </w:rPr>
      </w:pPr>
      <w:r w:rsidRPr="00E53E52">
        <w:rPr>
          <w:rFonts w:ascii="Century Schoolbook" w:hAnsi="Century Schoolbook"/>
          <w:b/>
        </w:rPr>
        <w:lastRenderedPageBreak/>
        <w:t>pp. 424-</w:t>
      </w:r>
      <w:r w:rsidR="009E0C3F" w:rsidRPr="00E53E52">
        <w:rPr>
          <w:rFonts w:ascii="Century Schoolbook" w:hAnsi="Century Schoolbook"/>
          <w:b/>
        </w:rPr>
        <w:t xml:space="preserve">436, delete </w:t>
      </w:r>
      <w:r w:rsidR="009E0C3F" w:rsidRPr="00E53E52">
        <w:rPr>
          <w:rFonts w:ascii="Century Schoolbook" w:hAnsi="Century Schoolbook"/>
          <w:b/>
          <w:i/>
        </w:rPr>
        <w:t>Matter of R-A-</w:t>
      </w:r>
      <w:r w:rsidR="007C5F02" w:rsidRPr="00E53E52">
        <w:rPr>
          <w:rFonts w:ascii="Century Schoolbook" w:hAnsi="Century Schoolbook"/>
          <w:b/>
        </w:rPr>
        <w:t xml:space="preserve"> and </w:t>
      </w:r>
      <w:r w:rsidR="00D704C9" w:rsidRPr="00E53E52">
        <w:rPr>
          <w:rFonts w:ascii="Century Schoolbook" w:hAnsi="Century Schoolbook"/>
          <w:b/>
        </w:rPr>
        <w:t xml:space="preserve">go directly to </w:t>
      </w:r>
      <w:r w:rsidR="00D704C9" w:rsidRPr="00E53E52">
        <w:rPr>
          <w:rFonts w:ascii="Century Schoolbook" w:hAnsi="Century Schoolbook"/>
          <w:b/>
          <w:i/>
        </w:rPr>
        <w:t xml:space="preserve">Matter of S-A- </w:t>
      </w:r>
      <w:r w:rsidR="00D704C9" w:rsidRPr="00E53E52">
        <w:rPr>
          <w:rFonts w:ascii="Century Schoolbook" w:hAnsi="Century Schoolbook"/>
          <w:b/>
        </w:rPr>
        <w:t>excerpt.</w:t>
      </w:r>
    </w:p>
    <w:p w14:paraId="582BCFC4" w14:textId="1836F126" w:rsidR="009E0C3F" w:rsidRPr="00E53E52" w:rsidRDefault="00B073FB" w:rsidP="001D1D6E">
      <w:pPr>
        <w:spacing w:after="120"/>
        <w:rPr>
          <w:rFonts w:ascii="Century Schoolbook" w:hAnsi="Century Schoolbook"/>
          <w:b/>
        </w:rPr>
      </w:pPr>
      <w:r w:rsidRPr="00E53E52">
        <w:rPr>
          <w:rFonts w:ascii="Century Schoolbook" w:hAnsi="Century Schoolbook"/>
          <w:b/>
        </w:rPr>
        <w:t>p. 440</w:t>
      </w:r>
      <w:r w:rsidR="009E0C3F" w:rsidRPr="00E53E52">
        <w:rPr>
          <w:rFonts w:ascii="Century Schoolbook" w:hAnsi="Century Schoolbook"/>
          <w:b/>
        </w:rPr>
        <w:t xml:space="preserve">, </w:t>
      </w:r>
      <w:r w:rsidRPr="00E53E52">
        <w:rPr>
          <w:rFonts w:ascii="Century Schoolbook" w:hAnsi="Century Schoolbook"/>
          <w:b/>
        </w:rPr>
        <w:t xml:space="preserve">after </w:t>
      </w:r>
      <w:r w:rsidRPr="00E53E52">
        <w:rPr>
          <w:rFonts w:ascii="Century Schoolbook" w:hAnsi="Century Schoolbook"/>
          <w:b/>
          <w:i/>
        </w:rPr>
        <w:t>Matter of S-A-</w:t>
      </w:r>
      <w:r w:rsidRPr="00E53E52">
        <w:rPr>
          <w:rFonts w:ascii="Century Schoolbook" w:hAnsi="Century Schoolbook"/>
          <w:b/>
        </w:rPr>
        <w:t xml:space="preserve"> and immediately before Notes and Questions, </w:t>
      </w:r>
      <w:r w:rsidR="009E0C3F" w:rsidRPr="00E53E52">
        <w:rPr>
          <w:rFonts w:ascii="Century Schoolbook" w:hAnsi="Century Schoolbook"/>
          <w:b/>
        </w:rPr>
        <w:t>add new text</w:t>
      </w:r>
      <w:r w:rsidR="00392857" w:rsidRPr="00E53E52">
        <w:rPr>
          <w:rFonts w:ascii="Century Schoolbook" w:hAnsi="Century Schoolbook"/>
          <w:b/>
        </w:rPr>
        <w:t xml:space="preserve">, but note that </w:t>
      </w:r>
      <w:r w:rsidR="00392857" w:rsidRPr="00E53E52">
        <w:rPr>
          <w:rFonts w:ascii="Century Schoolbook" w:hAnsi="Century Schoolbook"/>
          <w:b/>
          <w:i/>
        </w:rPr>
        <w:t xml:space="preserve">Matter of A-B- </w:t>
      </w:r>
      <w:r w:rsidR="00392857" w:rsidRPr="00E53E52">
        <w:rPr>
          <w:rFonts w:ascii="Century Schoolbook" w:hAnsi="Century Schoolbook"/>
          <w:b/>
        </w:rPr>
        <w:t xml:space="preserve">overruled </w:t>
      </w:r>
      <w:r w:rsidR="00392857" w:rsidRPr="00E53E52">
        <w:rPr>
          <w:rFonts w:ascii="Century Schoolbook" w:hAnsi="Century Schoolbook"/>
          <w:b/>
          <w:i/>
        </w:rPr>
        <w:t>Matter of A-R-C-G-</w:t>
      </w:r>
      <w:r w:rsidR="009E0C3F" w:rsidRPr="00E53E52">
        <w:rPr>
          <w:rFonts w:ascii="Century Schoolbook" w:hAnsi="Century Schoolbook"/>
          <w:b/>
        </w:rPr>
        <w:t>:</w:t>
      </w:r>
      <w:r w:rsidR="006E444E" w:rsidRPr="00E53E52">
        <w:rPr>
          <w:rFonts w:ascii="Century Schoolbook" w:hAnsi="Century Schoolbook"/>
          <w:b/>
        </w:rPr>
        <w:t xml:space="preserve"> </w:t>
      </w:r>
    </w:p>
    <w:p w14:paraId="23CE7C14" w14:textId="2EBBE5E0" w:rsidR="009E0C3F" w:rsidRPr="00E53E52" w:rsidRDefault="00BE5A20" w:rsidP="0036367F">
      <w:pPr>
        <w:spacing w:before="100" w:after="120"/>
        <w:ind w:firstLine="720"/>
        <w:jc w:val="both"/>
        <w:rPr>
          <w:rFonts w:ascii="Century Schoolbook" w:hAnsi="Century Schoolbook"/>
        </w:rPr>
      </w:pPr>
      <w:r w:rsidRPr="00E53E52">
        <w:rPr>
          <w:rFonts w:ascii="Century Schoolbook" w:hAnsi="Century Schoolbook"/>
        </w:rPr>
        <w:t xml:space="preserve">Several weeks prior to </w:t>
      </w:r>
      <w:r w:rsidRPr="00E53E52">
        <w:rPr>
          <w:rFonts w:ascii="Century Schoolbook" w:hAnsi="Century Schoolbook"/>
          <w:i/>
        </w:rPr>
        <w:t>Matter of S-A-</w:t>
      </w:r>
      <w:r w:rsidRPr="00E53E52">
        <w:rPr>
          <w:rFonts w:ascii="Century Schoolbook" w:hAnsi="Century Schoolbook"/>
        </w:rPr>
        <w:t>, the BIA h</w:t>
      </w:r>
      <w:r w:rsidR="00533710" w:rsidRPr="00E53E52">
        <w:rPr>
          <w:rFonts w:ascii="Century Schoolbook" w:hAnsi="Century Schoolbook"/>
        </w:rPr>
        <w:t>ad denied asylum to Rody Alvar</w:t>
      </w:r>
      <w:r w:rsidR="006E4C5A" w:rsidRPr="00E53E52">
        <w:rPr>
          <w:rFonts w:ascii="Century Schoolbook" w:hAnsi="Century Schoolbook"/>
        </w:rPr>
        <w:t>ad</w:t>
      </w:r>
      <w:r w:rsidR="00533710" w:rsidRPr="00E53E52">
        <w:rPr>
          <w:rFonts w:ascii="Century Schoolbook" w:hAnsi="Century Schoolbook"/>
        </w:rPr>
        <w:t xml:space="preserve">o, a Guatemalan woman who had </w:t>
      </w:r>
      <w:r w:rsidR="00B92B4D" w:rsidRPr="00E53E52">
        <w:rPr>
          <w:rFonts w:ascii="Century Schoolbook" w:hAnsi="Century Schoolbook"/>
        </w:rPr>
        <w:t>suffered years of physical and sexual abuse from her husband.</w:t>
      </w:r>
      <w:r w:rsidR="00810FDA" w:rsidRPr="00E53E52">
        <w:rPr>
          <w:rFonts w:ascii="Century Schoolbook" w:hAnsi="Century Schoolbook"/>
        </w:rPr>
        <w:t xml:space="preserve"> </w:t>
      </w:r>
      <w:r w:rsidR="00B92B4D" w:rsidRPr="00E53E52">
        <w:rPr>
          <w:rFonts w:ascii="Century Schoolbook" w:hAnsi="Century Schoolbook"/>
          <w:i/>
        </w:rPr>
        <w:t>Matter of R-A-,</w:t>
      </w:r>
      <w:r w:rsidR="00B92B4D" w:rsidRPr="00E53E52">
        <w:rPr>
          <w:rFonts w:ascii="Century Schoolbook" w:hAnsi="Century Schoolbook"/>
        </w:rPr>
        <w:t xml:space="preserve"> 22 I &amp; N Dec.</w:t>
      </w:r>
      <w:r w:rsidR="00FD599E" w:rsidRPr="00E53E52">
        <w:rPr>
          <w:rFonts w:ascii="Century Schoolbook" w:hAnsi="Century Schoolbook"/>
        </w:rPr>
        <w:t xml:space="preserve"> </w:t>
      </w:r>
      <w:r w:rsidR="00B92B4D" w:rsidRPr="00E53E52">
        <w:rPr>
          <w:rFonts w:ascii="Century Schoolbook" w:hAnsi="Century Schoolbook"/>
        </w:rPr>
        <w:t>906 (BIA</w:t>
      </w:r>
      <w:r w:rsidR="00FD599E" w:rsidRPr="00E53E52">
        <w:rPr>
          <w:rFonts w:ascii="Century Schoolbook" w:hAnsi="Century Schoolbook"/>
        </w:rPr>
        <w:t>, 1999</w:t>
      </w:r>
      <w:r w:rsidR="00B92B4D" w:rsidRPr="00E53E52">
        <w:rPr>
          <w:rFonts w:ascii="Century Schoolbook" w:hAnsi="Century Schoolbook"/>
        </w:rPr>
        <w:t>)</w:t>
      </w:r>
      <w:r w:rsidR="00FD599E" w:rsidRPr="00E53E52">
        <w:rPr>
          <w:rFonts w:ascii="Century Schoolbook" w:hAnsi="Century Schoolbook"/>
        </w:rPr>
        <w:t>, vacated by the Attorney General pending further action, 2001.</w:t>
      </w:r>
      <w:r w:rsidR="005D7EE7" w:rsidRPr="00E53E52">
        <w:rPr>
          <w:rFonts w:ascii="Century Schoolbook" w:hAnsi="Century Schoolbook"/>
        </w:rPr>
        <w:t xml:space="preserve"> The Board </w:t>
      </w:r>
      <w:r w:rsidR="003E5DA4" w:rsidRPr="00E53E52">
        <w:rPr>
          <w:rFonts w:ascii="Century Schoolbook" w:hAnsi="Century Schoolbook"/>
        </w:rPr>
        <w:t xml:space="preserve">concluded that </w:t>
      </w:r>
      <w:r w:rsidR="00C909C4" w:rsidRPr="00E53E52">
        <w:rPr>
          <w:rFonts w:ascii="Century Schoolbook" w:hAnsi="Century Schoolbook"/>
        </w:rPr>
        <w:t>“</w:t>
      </w:r>
      <w:r w:rsidR="00CE262D" w:rsidRPr="00E53E52">
        <w:rPr>
          <w:rFonts w:ascii="Century Schoolbook" w:hAnsi="Century Schoolbook"/>
        </w:rPr>
        <w:t>Guatemalan women who have been involved intimately with Guatemalan male companions, who believe that women are to live under male domination</w:t>
      </w:r>
      <w:r w:rsidR="00C909C4" w:rsidRPr="00E53E52">
        <w:rPr>
          <w:rFonts w:ascii="Century Schoolbook" w:hAnsi="Century Schoolbook"/>
        </w:rPr>
        <w:t>”</w:t>
      </w:r>
      <w:r w:rsidR="00CE262D" w:rsidRPr="00E53E52">
        <w:rPr>
          <w:rFonts w:ascii="Century Schoolbook" w:hAnsi="Century Schoolbook"/>
        </w:rPr>
        <w:t xml:space="preserve"> </w:t>
      </w:r>
      <w:r w:rsidR="006D6269" w:rsidRPr="00E53E52">
        <w:rPr>
          <w:rFonts w:ascii="Century Schoolbook" w:hAnsi="Century Schoolbook"/>
        </w:rPr>
        <w:t>did</w:t>
      </w:r>
      <w:r w:rsidR="00CE262D" w:rsidRPr="00E53E52">
        <w:rPr>
          <w:rFonts w:ascii="Century Schoolbook" w:hAnsi="Century Schoolbook"/>
        </w:rPr>
        <w:t xml:space="preserve"> not constitute a particular social group within the meaning of U.S.</w:t>
      </w:r>
      <w:r w:rsidR="006D6269" w:rsidRPr="00E53E52">
        <w:rPr>
          <w:rFonts w:ascii="Century Schoolbook" w:hAnsi="Century Schoolbook"/>
        </w:rPr>
        <w:t xml:space="preserve"> law.</w:t>
      </w:r>
      <w:r w:rsidR="00810FDA" w:rsidRPr="00E53E52">
        <w:rPr>
          <w:rFonts w:ascii="Century Schoolbook" w:hAnsi="Century Schoolbook"/>
        </w:rPr>
        <w:t xml:space="preserve"> </w:t>
      </w:r>
    </w:p>
    <w:p w14:paraId="437AD7FE" w14:textId="3E38DB55" w:rsidR="00CA2C07" w:rsidRPr="00E53E52" w:rsidRDefault="00F552C2" w:rsidP="001D1D6E">
      <w:pPr>
        <w:spacing w:after="120"/>
        <w:ind w:left="720" w:right="720" w:firstLine="720"/>
        <w:jc w:val="both"/>
        <w:rPr>
          <w:rFonts w:ascii="Century Schoolbook" w:hAnsi="Century Schoolbook"/>
        </w:rPr>
      </w:pPr>
      <w:r w:rsidRPr="00E53E52">
        <w:rPr>
          <w:rFonts w:ascii="Century Schoolbook" w:hAnsi="Century Schoolbook"/>
        </w:rPr>
        <w:t>[</w:t>
      </w:r>
      <w:r w:rsidR="00CA2C07" w:rsidRPr="00E53E52">
        <w:rPr>
          <w:rFonts w:ascii="Century Schoolbook" w:hAnsi="Century Schoolbook"/>
        </w:rPr>
        <w:t>T</w:t>
      </w:r>
      <w:r w:rsidRPr="00E53E52">
        <w:rPr>
          <w:rFonts w:ascii="Century Schoolbook" w:hAnsi="Century Schoolbook"/>
        </w:rPr>
        <w:t>]</w:t>
      </w:r>
      <w:r w:rsidR="00CA2C07" w:rsidRPr="00E53E52">
        <w:rPr>
          <w:rFonts w:ascii="Century Schoolbook" w:hAnsi="Century Schoolbook"/>
        </w:rPr>
        <w:t xml:space="preserve">he </w:t>
      </w:r>
      <w:r w:rsidRPr="00E53E52">
        <w:rPr>
          <w:rFonts w:ascii="Century Schoolbook" w:hAnsi="Century Schoolbook"/>
        </w:rPr>
        <w:t xml:space="preserve">respondent must show more than a lack of protection or the existence of societal </w:t>
      </w:r>
      <w:r w:rsidRPr="00E53E52">
        <w:rPr>
          <w:rFonts w:ascii="Century Schoolbook" w:hAnsi="Century Schoolbook"/>
          <w:color w:val="000000" w:themeColor="text1"/>
        </w:rPr>
        <w:t>attitudes</w:t>
      </w:r>
      <w:r w:rsidRPr="00E53E52">
        <w:rPr>
          <w:rFonts w:ascii="Century Schoolbook" w:hAnsi="Century Schoolbook"/>
        </w:rPr>
        <w:t xml:space="preserve"> favoring male domination.</w:t>
      </w:r>
      <w:r w:rsidR="00810FDA" w:rsidRPr="00E53E52">
        <w:rPr>
          <w:rFonts w:ascii="Century Schoolbook" w:hAnsi="Century Schoolbook"/>
        </w:rPr>
        <w:t xml:space="preserve"> </w:t>
      </w:r>
      <w:r w:rsidRPr="00E53E52">
        <w:rPr>
          <w:rFonts w:ascii="Century Schoolbook" w:hAnsi="Century Schoolbook"/>
        </w:rPr>
        <w:t>She must make a showing from which it is reasonable to conclude that her husband was motivated to harm her, at least in part, by her asserted group membership.</w:t>
      </w:r>
    </w:p>
    <w:p w14:paraId="5ABD051C" w14:textId="5A51764C" w:rsidR="00917372" w:rsidRPr="00E53E52" w:rsidRDefault="00917372" w:rsidP="001D1D6E">
      <w:pPr>
        <w:spacing w:after="120"/>
        <w:jc w:val="center"/>
        <w:rPr>
          <w:rFonts w:ascii="Century Schoolbook" w:hAnsi="Century Schoolbook"/>
        </w:rPr>
      </w:pPr>
      <w:r w:rsidRPr="00E53E52">
        <w:rPr>
          <w:rFonts w:ascii="Century Schoolbook" w:hAnsi="Century Schoolbook"/>
        </w:rPr>
        <w:t>* * *</w:t>
      </w:r>
    </w:p>
    <w:p w14:paraId="2079FB36" w14:textId="2F91EF9B" w:rsidR="001315FF" w:rsidRPr="00E53E52" w:rsidRDefault="00917372" w:rsidP="001D1D6E">
      <w:pPr>
        <w:spacing w:after="120"/>
        <w:ind w:left="720" w:right="720" w:firstLine="720"/>
        <w:jc w:val="both"/>
        <w:rPr>
          <w:rFonts w:ascii="Century Schoolbook" w:hAnsi="Century Schoolbook"/>
        </w:rPr>
      </w:pPr>
      <w:r w:rsidRPr="00E53E52">
        <w:rPr>
          <w:rFonts w:ascii="Century Schoolbook" w:hAnsi="Century Schoolbook"/>
        </w:rPr>
        <w:t>The respondent in this case has been terrib</w:t>
      </w:r>
      <w:r w:rsidR="00F948BE" w:rsidRPr="00E53E52">
        <w:rPr>
          <w:rFonts w:ascii="Century Schoolbook" w:hAnsi="Century Schoolbook"/>
        </w:rPr>
        <w:t>l</w:t>
      </w:r>
      <w:r w:rsidRPr="00E53E52">
        <w:rPr>
          <w:rFonts w:ascii="Century Schoolbook" w:hAnsi="Century Schoolbook"/>
        </w:rPr>
        <w:t>y abused and has a genuine and reasonable fear of returning to Guatemala.</w:t>
      </w:r>
      <w:r w:rsidR="00810FDA" w:rsidRPr="00E53E52">
        <w:rPr>
          <w:rFonts w:ascii="Century Schoolbook" w:hAnsi="Century Schoolbook"/>
        </w:rPr>
        <w:t xml:space="preserve"> </w:t>
      </w:r>
      <w:r w:rsidRPr="00E53E52">
        <w:rPr>
          <w:rFonts w:ascii="Century Schoolbook" w:hAnsi="Century Schoolbook"/>
        </w:rPr>
        <w:t>Whether the district director may, at his discretion, grant the responden</w:t>
      </w:r>
      <w:r w:rsidR="00F948BE" w:rsidRPr="00E53E52">
        <w:rPr>
          <w:rFonts w:ascii="Century Schoolbook" w:hAnsi="Century Schoolbook"/>
        </w:rPr>
        <w:t>t relief upon humanitarian grou</w:t>
      </w:r>
      <w:r w:rsidRPr="00E53E52">
        <w:rPr>
          <w:rFonts w:ascii="Century Schoolbook" w:hAnsi="Century Schoolbook"/>
        </w:rPr>
        <w:t xml:space="preserve">nds – relief beyond the jurisdiction of the Immigration Judge and this Board—is a matter the parties can </w:t>
      </w:r>
      <w:r w:rsidR="00F948BE" w:rsidRPr="00E53E52">
        <w:rPr>
          <w:rFonts w:ascii="Century Schoolbook" w:hAnsi="Century Schoolbook"/>
        </w:rPr>
        <w:t xml:space="preserve">explore outside the present proceedings. * * * </w:t>
      </w:r>
      <w:r w:rsidR="00C35C55" w:rsidRPr="00E53E52">
        <w:rPr>
          <w:rFonts w:ascii="Century Schoolbook" w:hAnsi="Century Schoolbook"/>
        </w:rPr>
        <w:t>The issue of whether our asylum laws * * * should be amended to include additional protection for abused women * * * is a matter to be addressed by Congress.</w:t>
      </w:r>
      <w:r w:rsidR="00F948BE" w:rsidRPr="00E53E52">
        <w:rPr>
          <w:rFonts w:ascii="Century Schoolbook" w:hAnsi="Century Schoolbook"/>
        </w:rPr>
        <w:t xml:space="preserve"> </w:t>
      </w:r>
    </w:p>
    <w:p w14:paraId="02A6F9A6" w14:textId="77777777" w:rsidR="00140C81" w:rsidRPr="00E53E52" w:rsidRDefault="00140C81" w:rsidP="001D1D6E">
      <w:pPr>
        <w:spacing w:after="120"/>
        <w:jc w:val="both"/>
        <w:rPr>
          <w:rFonts w:ascii="Century Schoolbook" w:hAnsi="Century Schoolbook"/>
          <w:caps/>
        </w:rPr>
      </w:pPr>
      <w:r w:rsidRPr="00E53E52">
        <w:rPr>
          <w:rFonts w:ascii="Century Schoolbook" w:hAnsi="Century Schoolbook"/>
        </w:rPr>
        <w:t>22 I &amp; N Dec</w:t>
      </w:r>
      <w:r w:rsidRPr="00E53E52">
        <w:rPr>
          <w:rFonts w:ascii="Century Schoolbook" w:hAnsi="Century Schoolbook"/>
          <w:b/>
          <w:caps/>
        </w:rPr>
        <w:t xml:space="preserve">. </w:t>
      </w:r>
      <w:r w:rsidRPr="00E53E52">
        <w:rPr>
          <w:rFonts w:ascii="Century Schoolbook" w:hAnsi="Century Schoolbook"/>
        </w:rPr>
        <w:t>at xx, xx</w:t>
      </w:r>
      <w:r w:rsidRPr="00E53E52">
        <w:rPr>
          <w:rFonts w:ascii="Century Schoolbook" w:hAnsi="Century Schoolbook"/>
          <w:caps/>
        </w:rPr>
        <w:t>.</w:t>
      </w:r>
    </w:p>
    <w:p w14:paraId="5AC3FD2A" w14:textId="5E78E196" w:rsidR="005E25C3" w:rsidRPr="00E53E52" w:rsidRDefault="000813E1" w:rsidP="0036367F">
      <w:pPr>
        <w:spacing w:before="100" w:after="120"/>
        <w:ind w:firstLine="720"/>
        <w:jc w:val="both"/>
        <w:rPr>
          <w:rFonts w:ascii="Century Schoolbook" w:hAnsi="Century Schoolbook"/>
        </w:rPr>
      </w:pPr>
      <w:r w:rsidRPr="00E53E52">
        <w:rPr>
          <w:rFonts w:ascii="Century Schoolbook" w:hAnsi="Century Schoolbook"/>
        </w:rPr>
        <w:t xml:space="preserve">Litigation involving Rody </w:t>
      </w:r>
      <w:r w:rsidR="001C5D79" w:rsidRPr="00E53E52">
        <w:rPr>
          <w:rFonts w:ascii="Century Schoolbook" w:hAnsi="Century Schoolbook"/>
        </w:rPr>
        <w:t>Alvar</w:t>
      </w:r>
      <w:r w:rsidR="006E4C5A" w:rsidRPr="00E53E52">
        <w:rPr>
          <w:rFonts w:ascii="Century Schoolbook" w:hAnsi="Century Schoolbook"/>
        </w:rPr>
        <w:t>ad</w:t>
      </w:r>
      <w:r w:rsidR="001C5D79" w:rsidRPr="00E53E52">
        <w:rPr>
          <w:rFonts w:ascii="Century Schoolbook" w:hAnsi="Century Schoolbook"/>
        </w:rPr>
        <w:t>o</w:t>
      </w:r>
      <w:r w:rsidR="00C909C4" w:rsidRPr="00E53E52">
        <w:rPr>
          <w:rFonts w:ascii="Century Schoolbook" w:hAnsi="Century Schoolbook"/>
        </w:rPr>
        <w:t>’</w:t>
      </w:r>
      <w:r w:rsidR="001C5D79" w:rsidRPr="00E53E52">
        <w:rPr>
          <w:rFonts w:ascii="Century Schoolbook" w:hAnsi="Century Schoolbook"/>
        </w:rPr>
        <w:t xml:space="preserve">s claim for asylum spanned several administrations and </w:t>
      </w:r>
      <w:r w:rsidR="001C656F" w:rsidRPr="00E53E52">
        <w:rPr>
          <w:rFonts w:ascii="Century Schoolbook" w:hAnsi="Century Schoolbook"/>
        </w:rPr>
        <w:t>lasted for more than a decade.</w:t>
      </w:r>
      <w:r w:rsidR="00810FDA" w:rsidRPr="00E53E52">
        <w:rPr>
          <w:rFonts w:ascii="Century Schoolbook" w:hAnsi="Century Schoolbook"/>
        </w:rPr>
        <w:t xml:space="preserve"> </w:t>
      </w:r>
      <w:r w:rsidR="003751EB" w:rsidRPr="00E53E52">
        <w:rPr>
          <w:rFonts w:ascii="Century Schoolbook" w:hAnsi="Century Schoolbook"/>
        </w:rPr>
        <w:t>The Notes and Questions at the end of this section, on pp. 440-42 of the casebook, set forth many of the s</w:t>
      </w:r>
      <w:r w:rsidR="001C656F" w:rsidRPr="00E53E52">
        <w:rPr>
          <w:rFonts w:ascii="Century Schoolbook" w:hAnsi="Century Schoolbook"/>
        </w:rPr>
        <w:t>ignificant historical details</w:t>
      </w:r>
      <w:r w:rsidR="00F41F92" w:rsidRPr="00E53E52">
        <w:rPr>
          <w:rFonts w:ascii="Century Schoolbook" w:hAnsi="Century Schoolbook"/>
        </w:rPr>
        <w:t>.</w:t>
      </w:r>
      <w:r w:rsidR="00810FDA" w:rsidRPr="00E53E52">
        <w:rPr>
          <w:rFonts w:ascii="Century Schoolbook" w:hAnsi="Century Schoolbook"/>
        </w:rPr>
        <w:t xml:space="preserve"> </w:t>
      </w:r>
      <w:r w:rsidR="006C5EC6" w:rsidRPr="00E53E52">
        <w:rPr>
          <w:rFonts w:ascii="Century Schoolbook" w:hAnsi="Century Schoolbook"/>
        </w:rPr>
        <w:t>In 2014, the BIA revisited this issue again.</w:t>
      </w:r>
      <w:r w:rsidR="00810FDA" w:rsidRPr="00E53E52">
        <w:rPr>
          <w:rFonts w:ascii="Century Schoolbook" w:hAnsi="Century Schoolbook"/>
        </w:rPr>
        <w:t xml:space="preserve"> </w:t>
      </w:r>
    </w:p>
    <w:p w14:paraId="2BD42661" w14:textId="77777777" w:rsidR="005E25C3" w:rsidRPr="00E53E52" w:rsidRDefault="005E25C3" w:rsidP="001D1D6E">
      <w:pPr>
        <w:keepNext/>
        <w:spacing w:after="120"/>
        <w:jc w:val="center"/>
        <w:outlineLvl w:val="0"/>
        <w:rPr>
          <w:rFonts w:ascii="Century Schoolbook" w:hAnsi="Century Schoolbook"/>
          <w:b/>
        </w:rPr>
      </w:pPr>
      <w:r w:rsidRPr="00E53E52">
        <w:rPr>
          <w:rFonts w:ascii="Century Schoolbook" w:hAnsi="Century Schoolbook"/>
          <w:b/>
        </w:rPr>
        <w:t>MATTER OF A–R–C–G–</w:t>
      </w:r>
    </w:p>
    <w:p w14:paraId="04D113DC" w14:textId="77777777" w:rsidR="005E25C3" w:rsidRPr="00E53E52" w:rsidRDefault="005E25C3" w:rsidP="001D1D6E">
      <w:pPr>
        <w:keepNext/>
        <w:spacing w:after="120"/>
        <w:jc w:val="center"/>
        <w:rPr>
          <w:rFonts w:ascii="Century Schoolbook" w:hAnsi="Century Schoolbook"/>
          <w:sz w:val="18"/>
          <w:szCs w:val="18"/>
        </w:rPr>
      </w:pPr>
      <w:r w:rsidRPr="00E53E52">
        <w:rPr>
          <w:rFonts w:ascii="Century Schoolbook" w:hAnsi="Century Schoolbook"/>
          <w:sz w:val="18"/>
          <w:szCs w:val="18"/>
        </w:rPr>
        <w:t xml:space="preserve">Board of Immigration Appeals,2014 </w:t>
      </w:r>
      <w:r w:rsidRPr="00E53E52">
        <w:rPr>
          <w:rFonts w:ascii="Century Schoolbook" w:hAnsi="Century Schoolbook"/>
          <w:sz w:val="18"/>
          <w:szCs w:val="18"/>
        </w:rPr>
        <w:br/>
        <w:t>26 I. &amp; N. Dec. 388</w:t>
      </w:r>
    </w:p>
    <w:p w14:paraId="63F3905F" w14:textId="77777777" w:rsidR="005E25C3" w:rsidRPr="00E53E52" w:rsidRDefault="005E25C3" w:rsidP="001D1D6E">
      <w:pPr>
        <w:pStyle w:val="TextParagraph"/>
        <w:spacing w:after="120" w:line="276" w:lineRule="auto"/>
        <w:ind w:firstLine="720"/>
        <w:rPr>
          <w:sz w:val="22"/>
          <w:szCs w:val="22"/>
        </w:rPr>
      </w:pPr>
      <w:r w:rsidRPr="00E53E52">
        <w:rPr>
          <w:sz w:val="22"/>
          <w:szCs w:val="22"/>
        </w:rPr>
        <w:t>ADKINS-BLANCH, Vice Chairman:</w:t>
      </w:r>
    </w:p>
    <w:p w14:paraId="11F68839" w14:textId="7AB1890A" w:rsidR="005E25C3" w:rsidRPr="00E53E52" w:rsidRDefault="005E25C3" w:rsidP="001D1D6E">
      <w:pPr>
        <w:pStyle w:val="TextParagraph"/>
        <w:spacing w:after="120" w:line="276" w:lineRule="auto"/>
        <w:ind w:firstLine="720"/>
        <w:rPr>
          <w:sz w:val="22"/>
          <w:szCs w:val="22"/>
        </w:rPr>
      </w:pPr>
      <w:r w:rsidRPr="00E53E52">
        <w:rPr>
          <w:sz w:val="22"/>
          <w:szCs w:val="22"/>
        </w:rPr>
        <w:t xml:space="preserve">In a decision dated October 14, 2009, an Immigration Judge found the respondents removable and denied their applications for asylum and withholding of removal under [INA] sections 208(a) and 241(b)(3). The respondents have appealed from that decision, contesting only the denial of their applications for relief from removal. We find that the lead respondent, a victim of domestic violence in her native country, is a member of a particular social group composed of </w:t>
      </w:r>
      <w:r w:rsidR="00C909C4" w:rsidRPr="00E53E52">
        <w:rPr>
          <w:sz w:val="22"/>
          <w:szCs w:val="22"/>
        </w:rPr>
        <w:t>“</w:t>
      </w:r>
      <w:r w:rsidRPr="00E53E52">
        <w:rPr>
          <w:sz w:val="22"/>
          <w:szCs w:val="22"/>
        </w:rPr>
        <w:t>married women in Guatemala who are unable to leave their relationship.</w:t>
      </w:r>
      <w:r w:rsidR="00C909C4" w:rsidRPr="00E53E52">
        <w:rPr>
          <w:sz w:val="22"/>
          <w:szCs w:val="22"/>
        </w:rPr>
        <w:t>”</w:t>
      </w:r>
      <w:r w:rsidRPr="00E53E52">
        <w:rPr>
          <w:sz w:val="22"/>
          <w:szCs w:val="22"/>
        </w:rPr>
        <w:t xml:space="preserve"> The record will be remanded to the Immigration Judge for further proceedings.</w:t>
      </w:r>
    </w:p>
    <w:p w14:paraId="39D4A1EA" w14:textId="4C53F50E" w:rsidR="005E25C3" w:rsidRPr="00E53E52" w:rsidRDefault="005E25C3" w:rsidP="006A0DB4">
      <w:pPr>
        <w:keepNext/>
        <w:spacing w:before="100" w:after="120"/>
        <w:jc w:val="center"/>
        <w:rPr>
          <w:rFonts w:ascii="Century Schoolbook" w:hAnsi="Century Schoolbook"/>
        </w:rPr>
      </w:pPr>
      <w:r w:rsidRPr="00E53E52">
        <w:rPr>
          <w:rFonts w:ascii="Century Schoolbook" w:hAnsi="Century Schoolbook"/>
        </w:rPr>
        <w:lastRenderedPageBreak/>
        <w:t>I.</w:t>
      </w:r>
      <w:r w:rsidR="001D1D6E" w:rsidRPr="00E53E52">
        <w:rPr>
          <w:rFonts w:ascii="Century Schoolbook" w:hAnsi="Century Schoolbook"/>
        </w:rPr>
        <w:t xml:space="preserve"> </w:t>
      </w:r>
      <w:r w:rsidRPr="00E53E52">
        <w:rPr>
          <w:rFonts w:ascii="Century Schoolbook" w:hAnsi="Century Schoolbook"/>
        </w:rPr>
        <w:t>FACTUAL AND PROCEDURAL HISTORY</w:t>
      </w:r>
    </w:p>
    <w:p w14:paraId="2D54521E" w14:textId="77777777" w:rsidR="005E25C3" w:rsidRPr="00E53E52" w:rsidRDefault="005E25C3" w:rsidP="001D1D6E">
      <w:pPr>
        <w:pStyle w:val="TextParagraph"/>
        <w:spacing w:after="120" w:line="276" w:lineRule="auto"/>
        <w:ind w:firstLine="720"/>
        <w:rPr>
          <w:sz w:val="22"/>
          <w:szCs w:val="22"/>
        </w:rPr>
      </w:pPr>
      <w:r w:rsidRPr="00E53E52">
        <w:rPr>
          <w:sz w:val="22"/>
          <w:szCs w:val="22"/>
        </w:rPr>
        <w:t>The lead respondent is the mother of the three minor respondents. The respondents are natives and citizens of Guatemala who entered the United States without inspection on December 25, 2005. The respondent filed a timely application for asylum and withholding of removal under the Act.</w:t>
      </w:r>
    </w:p>
    <w:p w14:paraId="16DF2703" w14:textId="71AFB1DE" w:rsidR="005E25C3" w:rsidRPr="00E53E52" w:rsidRDefault="005E25C3" w:rsidP="001D1D6E">
      <w:pPr>
        <w:pStyle w:val="TextParagraph"/>
        <w:spacing w:after="120" w:line="276" w:lineRule="auto"/>
        <w:ind w:firstLine="720"/>
        <w:rPr>
          <w:sz w:val="22"/>
          <w:szCs w:val="22"/>
        </w:rPr>
      </w:pPr>
      <w:r w:rsidRPr="00E53E52">
        <w:rPr>
          <w:sz w:val="22"/>
          <w:szCs w:val="22"/>
        </w:rPr>
        <w:t>The Immigration Judge found the r</w:t>
      </w:r>
      <w:r w:rsidR="005121B6" w:rsidRPr="00E53E52">
        <w:rPr>
          <w:sz w:val="22"/>
          <w:szCs w:val="22"/>
        </w:rPr>
        <w:t>espondent to be a credible wit</w:t>
      </w:r>
      <w:r w:rsidRPr="00E53E52">
        <w:rPr>
          <w:sz w:val="22"/>
          <w:szCs w:val="22"/>
        </w:rPr>
        <w:t>ness, which is not contested on appeal. It is undisputed that the respondent, who married at age 17, suffered repugnant abuse by her husband. This abuse included weekly beatings after the respondent had their first child.</w:t>
      </w:r>
      <w:r w:rsidRPr="00E53E52">
        <w:rPr>
          <w:rStyle w:val="FootnoteReference"/>
          <w:sz w:val="22"/>
          <w:szCs w:val="22"/>
        </w:rPr>
        <w:footnoteReference w:customMarkFollows="1" w:id="10"/>
        <w:t>9</w:t>
      </w:r>
      <w:r w:rsidRPr="00E53E52">
        <w:rPr>
          <w:sz w:val="22"/>
          <w:szCs w:val="22"/>
        </w:rPr>
        <w:t xml:space="preserve"> On one occasion, the respondent</w:t>
      </w:r>
      <w:r w:rsidR="00C909C4" w:rsidRPr="00E53E52">
        <w:rPr>
          <w:sz w:val="22"/>
          <w:szCs w:val="22"/>
        </w:rPr>
        <w:t>’</w:t>
      </w:r>
      <w:r w:rsidRPr="00E53E52">
        <w:rPr>
          <w:sz w:val="22"/>
          <w:szCs w:val="22"/>
        </w:rPr>
        <w:t>s husband broke her nose. Another time, he threw paint thinner on her, which burned her breast. He raped her.</w:t>
      </w:r>
    </w:p>
    <w:p w14:paraId="09E856F7" w14:textId="77777777" w:rsidR="005E25C3" w:rsidRPr="00E53E52" w:rsidRDefault="005E25C3" w:rsidP="001D1D6E">
      <w:pPr>
        <w:pStyle w:val="TextParagraph"/>
        <w:spacing w:after="120" w:line="276" w:lineRule="auto"/>
        <w:ind w:firstLine="720"/>
        <w:rPr>
          <w:sz w:val="22"/>
          <w:szCs w:val="22"/>
        </w:rPr>
      </w:pPr>
      <w:r w:rsidRPr="00E53E52">
        <w:rPr>
          <w:sz w:val="22"/>
          <w:szCs w:val="22"/>
        </w:rPr>
        <w:t>The respondent contacted the police several times but was told that they would not interfere in a marital relationship. On one occasion, the police came to her home after her husband hit her on the head, but he was not arrested. Subsequently, he threatened the respondent with death if she called the police again. The respondent repeatedly tried to leave the relationship by staying with her father, but her husband found her and threatened to kill her if she did not return to him. Once she went to Guatemala City for about 3 months, but he followed her and convinced her to come home with promises that he would discontinue the abuse. The abuse continued when she returned. The respondent left Guatemala in December 2005, and she believes her husband will harm her if she returns.</w:t>
      </w:r>
    </w:p>
    <w:p w14:paraId="315CF00A" w14:textId="211A81A3" w:rsidR="005E25C3" w:rsidRPr="00E53E52" w:rsidRDefault="005E25C3" w:rsidP="001D1D6E">
      <w:pPr>
        <w:pStyle w:val="TextParagraph"/>
        <w:spacing w:after="120" w:line="276" w:lineRule="auto"/>
        <w:ind w:firstLine="720"/>
        <w:rPr>
          <w:sz w:val="22"/>
          <w:szCs w:val="22"/>
        </w:rPr>
      </w:pPr>
      <w:r w:rsidRPr="00E53E52">
        <w:rPr>
          <w:sz w:val="22"/>
          <w:szCs w:val="22"/>
        </w:rPr>
        <w:t xml:space="preserve">The Immigration Judge found that the respondent did not demonstrate that she had suffered past persecution or has a well-founded fear of future persecution on account of a particular social group comprised of </w:t>
      </w:r>
      <w:r w:rsidR="00C909C4" w:rsidRPr="00E53E52">
        <w:rPr>
          <w:sz w:val="22"/>
          <w:szCs w:val="22"/>
        </w:rPr>
        <w:t>“</w:t>
      </w:r>
      <w:r w:rsidRPr="00E53E52">
        <w:rPr>
          <w:sz w:val="22"/>
          <w:szCs w:val="22"/>
        </w:rPr>
        <w:t xml:space="preserve">married women in Guatemala who are </w:t>
      </w:r>
      <w:r w:rsidR="00057D21" w:rsidRPr="00E53E52">
        <w:rPr>
          <w:sz w:val="22"/>
          <w:szCs w:val="22"/>
        </w:rPr>
        <w:t>unable to leave their relation</w:t>
      </w:r>
      <w:r w:rsidRPr="00E53E52">
        <w:rPr>
          <w:sz w:val="22"/>
          <w:szCs w:val="22"/>
        </w:rPr>
        <w:t>ship.</w:t>
      </w:r>
      <w:r w:rsidR="00C909C4" w:rsidRPr="00E53E52">
        <w:rPr>
          <w:sz w:val="22"/>
          <w:szCs w:val="22"/>
        </w:rPr>
        <w:t>”</w:t>
      </w:r>
      <w:r w:rsidRPr="00E53E52">
        <w:rPr>
          <w:sz w:val="22"/>
          <w:szCs w:val="22"/>
        </w:rPr>
        <w:t xml:space="preserve"> The Immigration Judge determined that there was inadequate evidence that the respondent</w:t>
      </w:r>
      <w:r w:rsidR="00C909C4" w:rsidRPr="00E53E52">
        <w:rPr>
          <w:sz w:val="22"/>
          <w:szCs w:val="22"/>
        </w:rPr>
        <w:t>’</w:t>
      </w:r>
      <w:r w:rsidRPr="00E53E52">
        <w:rPr>
          <w:sz w:val="22"/>
          <w:szCs w:val="22"/>
        </w:rPr>
        <w:t xml:space="preserve">s spouse abused her </w:t>
      </w:r>
      <w:r w:rsidR="00C909C4" w:rsidRPr="00E53E52">
        <w:rPr>
          <w:sz w:val="22"/>
          <w:szCs w:val="22"/>
        </w:rPr>
        <w:t>“</w:t>
      </w:r>
      <w:r w:rsidRPr="00E53E52">
        <w:rPr>
          <w:sz w:val="22"/>
          <w:szCs w:val="22"/>
        </w:rPr>
        <w:t>in order to overcome</w:t>
      </w:r>
      <w:r w:rsidR="00C909C4" w:rsidRPr="00E53E52">
        <w:rPr>
          <w:sz w:val="22"/>
          <w:szCs w:val="22"/>
        </w:rPr>
        <w:t>”</w:t>
      </w:r>
      <w:r w:rsidRPr="00E53E52">
        <w:rPr>
          <w:sz w:val="22"/>
          <w:szCs w:val="22"/>
        </w:rPr>
        <w:t xml:space="preserve"> the fact that she was a </w:t>
      </w:r>
      <w:r w:rsidR="00C909C4" w:rsidRPr="00E53E52">
        <w:rPr>
          <w:sz w:val="22"/>
          <w:szCs w:val="22"/>
        </w:rPr>
        <w:t>“</w:t>
      </w:r>
      <w:r w:rsidRPr="00E53E52">
        <w:rPr>
          <w:sz w:val="22"/>
          <w:szCs w:val="22"/>
        </w:rPr>
        <w:t>married woman in Guatemala who was unable to leave the relationship.</w:t>
      </w:r>
      <w:r w:rsidR="00C909C4" w:rsidRPr="00E53E52">
        <w:rPr>
          <w:sz w:val="22"/>
          <w:szCs w:val="22"/>
        </w:rPr>
        <w:t>”</w:t>
      </w:r>
      <w:r w:rsidRPr="00E53E52">
        <w:rPr>
          <w:sz w:val="22"/>
          <w:szCs w:val="22"/>
        </w:rPr>
        <w:t xml:space="preserve"> He found that the respondent</w:t>
      </w:r>
      <w:r w:rsidR="00C909C4" w:rsidRPr="00E53E52">
        <w:rPr>
          <w:sz w:val="22"/>
          <w:szCs w:val="22"/>
        </w:rPr>
        <w:t>’</w:t>
      </w:r>
      <w:r w:rsidRPr="00E53E52">
        <w:rPr>
          <w:sz w:val="22"/>
          <w:szCs w:val="22"/>
        </w:rPr>
        <w:t xml:space="preserve">s abuse was the result of </w:t>
      </w:r>
      <w:r w:rsidR="00C909C4" w:rsidRPr="00E53E52">
        <w:rPr>
          <w:sz w:val="22"/>
          <w:szCs w:val="22"/>
        </w:rPr>
        <w:t>“</w:t>
      </w:r>
      <w:r w:rsidRPr="00E53E52">
        <w:rPr>
          <w:sz w:val="22"/>
          <w:szCs w:val="22"/>
        </w:rPr>
        <w:t>criminal acts, not persecution,</w:t>
      </w:r>
      <w:r w:rsidR="00C909C4" w:rsidRPr="00E53E52">
        <w:rPr>
          <w:sz w:val="22"/>
          <w:szCs w:val="22"/>
        </w:rPr>
        <w:t>”</w:t>
      </w:r>
      <w:r w:rsidRPr="00E53E52">
        <w:rPr>
          <w:sz w:val="22"/>
          <w:szCs w:val="22"/>
        </w:rPr>
        <w:t xml:space="preserve"> which were perpetrated </w:t>
      </w:r>
      <w:r w:rsidR="00C909C4" w:rsidRPr="00E53E52">
        <w:rPr>
          <w:sz w:val="22"/>
          <w:szCs w:val="22"/>
        </w:rPr>
        <w:t>“</w:t>
      </w:r>
      <w:r w:rsidRPr="00E53E52">
        <w:rPr>
          <w:sz w:val="22"/>
          <w:szCs w:val="22"/>
        </w:rPr>
        <w:t>arbitrarily</w:t>
      </w:r>
      <w:r w:rsidR="00C909C4" w:rsidRPr="00E53E52">
        <w:rPr>
          <w:sz w:val="22"/>
          <w:szCs w:val="22"/>
        </w:rPr>
        <w:t>”</w:t>
      </w:r>
      <w:r w:rsidRPr="00E53E52">
        <w:rPr>
          <w:sz w:val="22"/>
          <w:szCs w:val="22"/>
        </w:rPr>
        <w:t xml:space="preserve"> and </w:t>
      </w:r>
      <w:r w:rsidR="00C909C4" w:rsidRPr="00E53E52">
        <w:rPr>
          <w:sz w:val="22"/>
          <w:szCs w:val="22"/>
        </w:rPr>
        <w:t>“</w:t>
      </w:r>
      <w:r w:rsidRPr="00E53E52">
        <w:rPr>
          <w:sz w:val="22"/>
          <w:szCs w:val="22"/>
        </w:rPr>
        <w:t>without reason.</w:t>
      </w:r>
      <w:r w:rsidR="00C909C4" w:rsidRPr="00E53E52">
        <w:rPr>
          <w:sz w:val="22"/>
          <w:szCs w:val="22"/>
        </w:rPr>
        <w:t>”</w:t>
      </w:r>
      <w:r w:rsidRPr="00E53E52">
        <w:rPr>
          <w:sz w:val="22"/>
          <w:szCs w:val="22"/>
        </w:rPr>
        <w:t xml:space="preserve"> He accordingly found that the respondent did not meet her burden of demonstrating eligibility for asylum or withholding of removal under the Act.</w:t>
      </w:r>
    </w:p>
    <w:p w14:paraId="55716CD9" w14:textId="77777777" w:rsidR="005E25C3" w:rsidRPr="00E53E52" w:rsidRDefault="005E25C3" w:rsidP="001D1D6E">
      <w:pPr>
        <w:pStyle w:val="TextParagraph"/>
        <w:spacing w:after="120" w:line="276" w:lineRule="auto"/>
        <w:ind w:firstLine="720"/>
        <w:rPr>
          <w:sz w:val="22"/>
          <w:szCs w:val="22"/>
        </w:rPr>
      </w:pPr>
      <w:r w:rsidRPr="00E53E52">
        <w:rPr>
          <w:sz w:val="22"/>
          <w:szCs w:val="22"/>
        </w:rPr>
        <w:t>On appeal, the respondent asserts that she has established eligibility for asylum as a victim of domestic violence. * * *</w:t>
      </w:r>
    </w:p>
    <w:p w14:paraId="7B69AA07" w14:textId="5FE24703" w:rsidR="005E25C3" w:rsidRPr="00E53E52" w:rsidRDefault="005E25C3" w:rsidP="001D1D6E">
      <w:pPr>
        <w:pStyle w:val="TextParagraph"/>
        <w:spacing w:after="120" w:line="276" w:lineRule="auto"/>
        <w:ind w:firstLine="720"/>
        <w:rPr>
          <w:sz w:val="22"/>
          <w:szCs w:val="22"/>
        </w:rPr>
      </w:pPr>
      <w:r w:rsidRPr="00E53E52">
        <w:rPr>
          <w:sz w:val="22"/>
          <w:szCs w:val="22"/>
        </w:rPr>
        <w:t xml:space="preserve">In response to our request for supplemental briefing, the DHS now concedes the respondent established that she suffered past harm rising to the level of persecution and that the persecution was on account of a particular social group comprised of </w:t>
      </w:r>
      <w:r w:rsidR="00C909C4" w:rsidRPr="00E53E52">
        <w:rPr>
          <w:sz w:val="22"/>
          <w:szCs w:val="22"/>
        </w:rPr>
        <w:t>“</w:t>
      </w:r>
      <w:r w:rsidRPr="00E53E52">
        <w:rPr>
          <w:sz w:val="22"/>
          <w:szCs w:val="22"/>
        </w:rPr>
        <w:t>married women in Guatemala who are unable to leave their relationship.</w:t>
      </w:r>
      <w:r w:rsidR="00C909C4" w:rsidRPr="00E53E52">
        <w:rPr>
          <w:sz w:val="22"/>
          <w:szCs w:val="22"/>
        </w:rPr>
        <w:t>”</w:t>
      </w:r>
      <w:r w:rsidRPr="00E53E52">
        <w:rPr>
          <w:sz w:val="22"/>
          <w:szCs w:val="22"/>
        </w:rPr>
        <w:t xml:space="preserve"> However, the DHS seeks remand, arguing that </w:t>
      </w:r>
      <w:r w:rsidR="00C909C4" w:rsidRPr="00E53E52">
        <w:rPr>
          <w:sz w:val="22"/>
          <w:szCs w:val="22"/>
        </w:rPr>
        <w:t>“</w:t>
      </w:r>
      <w:r w:rsidRPr="00E53E52">
        <w:rPr>
          <w:sz w:val="22"/>
          <w:szCs w:val="22"/>
        </w:rPr>
        <w:t>further factual development of the record and related findings by the Immigration Judge are necessary on several issues</w:t>
      </w:r>
      <w:r w:rsidR="00C909C4" w:rsidRPr="00E53E52">
        <w:rPr>
          <w:sz w:val="22"/>
          <w:szCs w:val="22"/>
        </w:rPr>
        <w:t>”</w:t>
      </w:r>
      <w:r w:rsidRPr="00E53E52">
        <w:rPr>
          <w:sz w:val="22"/>
          <w:szCs w:val="22"/>
        </w:rPr>
        <w:t xml:space="preserve"> before the asylum claim can be properly resolved. The respondent opposes remand and maintains that she has met her burden of proof regarding all aspects of her asylum claim. We accept the parties</w:t>
      </w:r>
      <w:r w:rsidR="00C909C4" w:rsidRPr="00E53E52">
        <w:rPr>
          <w:sz w:val="22"/>
          <w:szCs w:val="22"/>
        </w:rPr>
        <w:t>’</w:t>
      </w:r>
      <w:r w:rsidRPr="00E53E52">
        <w:rPr>
          <w:sz w:val="22"/>
          <w:szCs w:val="22"/>
        </w:rPr>
        <w:t xml:space="preserve"> position on the </w:t>
      </w:r>
      <w:r w:rsidRPr="00E53E52">
        <w:rPr>
          <w:sz w:val="22"/>
          <w:szCs w:val="22"/>
        </w:rPr>
        <w:lastRenderedPageBreak/>
        <w:t>existence of harm rising to the level of past persecution, the existence of a valid particular social group, and the issue of nexus under the particular facts of this case. We will remand the record for further proceedings.</w:t>
      </w:r>
    </w:p>
    <w:p w14:paraId="1FACCFA6" w14:textId="51158F81" w:rsidR="005E25C3" w:rsidRPr="00E53E52" w:rsidRDefault="005E25C3" w:rsidP="001D1D6E">
      <w:pPr>
        <w:spacing w:before="100" w:after="120"/>
        <w:jc w:val="center"/>
        <w:rPr>
          <w:rFonts w:ascii="Century Schoolbook" w:hAnsi="Century Schoolbook"/>
        </w:rPr>
      </w:pPr>
      <w:r w:rsidRPr="00E53E52">
        <w:rPr>
          <w:rFonts w:ascii="Century Schoolbook" w:hAnsi="Century Schoolbook"/>
        </w:rPr>
        <w:t>II.</w:t>
      </w:r>
      <w:r w:rsidR="001D1D6E" w:rsidRPr="00E53E52">
        <w:rPr>
          <w:rFonts w:ascii="Century Schoolbook" w:hAnsi="Century Schoolbook"/>
        </w:rPr>
        <w:t xml:space="preserve"> </w:t>
      </w:r>
      <w:r w:rsidRPr="00E53E52">
        <w:rPr>
          <w:rFonts w:ascii="Century Schoolbook" w:hAnsi="Century Schoolbook"/>
        </w:rPr>
        <w:t>ANALYSIS</w:t>
      </w:r>
    </w:p>
    <w:p w14:paraId="43A6C595" w14:textId="0ABE8DAA" w:rsidR="005E25C3" w:rsidRPr="00E53E52" w:rsidRDefault="005E25C3" w:rsidP="001D1D6E">
      <w:pPr>
        <w:spacing w:after="120"/>
        <w:jc w:val="center"/>
        <w:rPr>
          <w:rFonts w:ascii="Century Schoolbook" w:hAnsi="Century Schoolbook"/>
        </w:rPr>
      </w:pPr>
      <w:r w:rsidRPr="00E53E52">
        <w:rPr>
          <w:rFonts w:ascii="Century Schoolbook" w:hAnsi="Century Schoolbook"/>
        </w:rPr>
        <w:t>A.</w:t>
      </w:r>
      <w:r w:rsidR="00810FDA" w:rsidRPr="00E53E52">
        <w:rPr>
          <w:rFonts w:ascii="Century Schoolbook" w:hAnsi="Century Schoolbook"/>
        </w:rPr>
        <w:t xml:space="preserve"> </w:t>
      </w:r>
      <w:r w:rsidRPr="00E53E52">
        <w:rPr>
          <w:rFonts w:ascii="Century Schoolbook" w:hAnsi="Century Schoolbook"/>
        </w:rPr>
        <w:t>Particular Social Group</w:t>
      </w:r>
    </w:p>
    <w:p w14:paraId="6FF6BA65" w14:textId="519146F9" w:rsidR="005E25C3" w:rsidRPr="00E53E52" w:rsidRDefault="005E25C3" w:rsidP="001D1D6E">
      <w:pPr>
        <w:pStyle w:val="TextParagraph"/>
        <w:spacing w:after="120" w:line="276" w:lineRule="auto"/>
        <w:ind w:firstLine="720"/>
        <w:rPr>
          <w:sz w:val="22"/>
          <w:szCs w:val="22"/>
        </w:rPr>
      </w:pPr>
      <w:r w:rsidRPr="00E53E52">
        <w:rPr>
          <w:sz w:val="22"/>
          <w:szCs w:val="22"/>
        </w:rPr>
        <w:t xml:space="preserve">The question whether a group is a </w:t>
      </w:r>
      <w:r w:rsidR="00C909C4" w:rsidRPr="00E53E52">
        <w:rPr>
          <w:sz w:val="22"/>
          <w:szCs w:val="22"/>
        </w:rPr>
        <w:t>“</w:t>
      </w:r>
      <w:r w:rsidRPr="00E53E52">
        <w:rPr>
          <w:sz w:val="22"/>
          <w:szCs w:val="22"/>
        </w:rPr>
        <w:t>particular social group</w:t>
      </w:r>
      <w:r w:rsidR="00C909C4" w:rsidRPr="00E53E52">
        <w:rPr>
          <w:sz w:val="22"/>
          <w:szCs w:val="22"/>
        </w:rPr>
        <w:t>”</w:t>
      </w:r>
      <w:r w:rsidRPr="00E53E52">
        <w:rPr>
          <w:sz w:val="22"/>
          <w:szCs w:val="22"/>
        </w:rPr>
        <w:t xml:space="preserve"> within the meaning of the Act is a question of law that we review de novo. The question whether a person is a member of a particular social group is a finding of fact that we review for clear error.</w:t>
      </w:r>
    </w:p>
    <w:p w14:paraId="6759A9A7" w14:textId="77777777" w:rsidR="005E25C3" w:rsidRPr="00E53E52" w:rsidRDefault="005E25C3" w:rsidP="006E4C5A">
      <w:pPr>
        <w:spacing w:after="0"/>
        <w:jc w:val="center"/>
        <w:rPr>
          <w:rFonts w:ascii="Century Schoolbook" w:hAnsi="Century Schoolbook"/>
        </w:rPr>
      </w:pPr>
      <w:r w:rsidRPr="00E53E52">
        <w:rPr>
          <w:rFonts w:ascii="Century Schoolbook" w:hAnsi="Century Schoolbook"/>
        </w:rPr>
        <w:t>* * *</w:t>
      </w:r>
    </w:p>
    <w:p w14:paraId="75CE5A56" w14:textId="749AD2BB" w:rsidR="005E25C3" w:rsidRPr="00E53E52" w:rsidRDefault="005E25C3" w:rsidP="001D1D6E">
      <w:pPr>
        <w:spacing w:after="120"/>
        <w:jc w:val="center"/>
        <w:rPr>
          <w:rFonts w:ascii="Century Schoolbook" w:hAnsi="Century Schoolbook"/>
        </w:rPr>
      </w:pPr>
      <w:r w:rsidRPr="00E53E52">
        <w:rPr>
          <w:rFonts w:ascii="Century Schoolbook" w:hAnsi="Century Schoolbook"/>
        </w:rPr>
        <w:t>B.</w:t>
      </w:r>
      <w:r w:rsidR="001D1D6E" w:rsidRPr="00E53E52">
        <w:rPr>
          <w:rFonts w:ascii="Century Schoolbook" w:hAnsi="Century Schoolbook"/>
        </w:rPr>
        <w:t xml:space="preserve"> </w:t>
      </w:r>
      <w:r w:rsidRPr="00E53E52">
        <w:rPr>
          <w:rFonts w:ascii="Century Schoolbook" w:hAnsi="Century Schoolbook"/>
        </w:rPr>
        <w:t>Respondent</w:t>
      </w:r>
      <w:r w:rsidR="00C909C4" w:rsidRPr="00E53E52">
        <w:rPr>
          <w:rFonts w:ascii="Century Schoolbook" w:hAnsi="Century Schoolbook"/>
        </w:rPr>
        <w:t>’</w:t>
      </w:r>
      <w:r w:rsidRPr="00E53E52">
        <w:rPr>
          <w:rFonts w:ascii="Century Schoolbook" w:hAnsi="Century Schoolbook"/>
        </w:rPr>
        <w:t>s Claim</w:t>
      </w:r>
    </w:p>
    <w:p w14:paraId="086C79F3" w14:textId="196CDBEF" w:rsidR="005E25C3" w:rsidRPr="00E53E52" w:rsidRDefault="005E25C3" w:rsidP="001D1D6E">
      <w:pPr>
        <w:pStyle w:val="TextParagraph"/>
        <w:spacing w:after="120" w:line="276" w:lineRule="auto"/>
        <w:ind w:firstLine="720"/>
        <w:rPr>
          <w:sz w:val="22"/>
          <w:szCs w:val="22"/>
        </w:rPr>
      </w:pPr>
      <w:r w:rsidRPr="00E53E52">
        <w:rPr>
          <w:sz w:val="22"/>
          <w:szCs w:val="22"/>
        </w:rPr>
        <w:t xml:space="preserve">The DHS has conceded that the respondent established harm rising to the level of past persecution on account of a particular social group comprised of </w:t>
      </w:r>
      <w:r w:rsidR="00C909C4" w:rsidRPr="00E53E52">
        <w:rPr>
          <w:sz w:val="22"/>
          <w:szCs w:val="22"/>
        </w:rPr>
        <w:t>“</w:t>
      </w:r>
      <w:r w:rsidRPr="00E53E52">
        <w:rPr>
          <w:sz w:val="22"/>
          <w:szCs w:val="22"/>
        </w:rPr>
        <w:t>married women in Guatemala who are unable to leave their relationship.</w:t>
      </w:r>
      <w:r w:rsidR="00C909C4" w:rsidRPr="00E53E52">
        <w:rPr>
          <w:sz w:val="22"/>
          <w:szCs w:val="22"/>
        </w:rPr>
        <w:t>”</w:t>
      </w:r>
      <w:r w:rsidRPr="00E53E52">
        <w:rPr>
          <w:sz w:val="22"/>
          <w:szCs w:val="22"/>
        </w:rPr>
        <w:t xml:space="preserve"> The DHS</w:t>
      </w:r>
      <w:r w:rsidR="00C909C4" w:rsidRPr="00E53E52">
        <w:rPr>
          <w:sz w:val="22"/>
          <w:szCs w:val="22"/>
        </w:rPr>
        <w:t>’</w:t>
      </w:r>
      <w:r w:rsidRPr="00E53E52">
        <w:rPr>
          <w:sz w:val="22"/>
          <w:szCs w:val="22"/>
        </w:rPr>
        <w:t xml:space="preserve">s position regarding the existence of such a particular social group in Guatemala under the facts presented in this case comports with our recent precedents clarifying the meaning of the term </w:t>
      </w:r>
      <w:r w:rsidR="00C909C4" w:rsidRPr="00E53E52">
        <w:rPr>
          <w:sz w:val="22"/>
          <w:szCs w:val="22"/>
        </w:rPr>
        <w:t>“</w:t>
      </w:r>
      <w:r w:rsidRPr="00E53E52">
        <w:rPr>
          <w:sz w:val="22"/>
          <w:szCs w:val="22"/>
        </w:rPr>
        <w:t>particular social group.</w:t>
      </w:r>
      <w:r w:rsidR="00C909C4" w:rsidRPr="00E53E52">
        <w:rPr>
          <w:sz w:val="22"/>
          <w:szCs w:val="22"/>
        </w:rPr>
        <w:t>”</w:t>
      </w:r>
      <w:r w:rsidRPr="00E53E52">
        <w:rPr>
          <w:sz w:val="22"/>
          <w:szCs w:val="22"/>
        </w:rPr>
        <w:t xml:space="preserve"> In this regard, we point out that any claim regarding the existence of a particular social group in a country must be evaluated in the context of the evidence presented regarding the particular circumstances in the country in question.</w:t>
      </w:r>
    </w:p>
    <w:p w14:paraId="448F178C" w14:textId="540DE4F8" w:rsidR="005E25C3" w:rsidRPr="00E53E52" w:rsidRDefault="005E25C3" w:rsidP="001D1D6E">
      <w:pPr>
        <w:pStyle w:val="TextParagraph"/>
        <w:spacing w:after="120" w:line="276" w:lineRule="auto"/>
        <w:ind w:firstLine="720"/>
        <w:rPr>
          <w:sz w:val="22"/>
          <w:szCs w:val="22"/>
        </w:rPr>
      </w:pPr>
      <w:r w:rsidRPr="00E53E52">
        <w:rPr>
          <w:sz w:val="22"/>
          <w:szCs w:val="22"/>
        </w:rPr>
        <w:t xml:space="preserve">In </w:t>
      </w:r>
      <w:r w:rsidRPr="00E53E52">
        <w:rPr>
          <w:i/>
          <w:sz w:val="22"/>
          <w:szCs w:val="22"/>
        </w:rPr>
        <w:t>Matter of W-G-R-</w:t>
      </w:r>
      <w:r w:rsidRPr="00E53E52">
        <w:rPr>
          <w:sz w:val="22"/>
          <w:szCs w:val="22"/>
        </w:rPr>
        <w:t xml:space="preserve"> and </w:t>
      </w:r>
      <w:r w:rsidRPr="00E53E52">
        <w:rPr>
          <w:i/>
          <w:sz w:val="22"/>
          <w:szCs w:val="22"/>
        </w:rPr>
        <w:t>Matter of M-E-V-G</w:t>
      </w:r>
      <w:r w:rsidRPr="00E53E52">
        <w:rPr>
          <w:sz w:val="22"/>
          <w:szCs w:val="22"/>
        </w:rPr>
        <w:t xml:space="preserve">-, we held that an applicant seeking asylum based on his or her membership in a </w:t>
      </w:r>
      <w:r w:rsidR="00C909C4" w:rsidRPr="00E53E52">
        <w:rPr>
          <w:sz w:val="22"/>
          <w:szCs w:val="22"/>
        </w:rPr>
        <w:t>“</w:t>
      </w:r>
      <w:r w:rsidRPr="00E53E52">
        <w:rPr>
          <w:sz w:val="22"/>
          <w:szCs w:val="22"/>
        </w:rPr>
        <w:t>particular social group</w:t>
      </w:r>
      <w:r w:rsidR="00C909C4" w:rsidRPr="00E53E52">
        <w:rPr>
          <w:sz w:val="22"/>
          <w:szCs w:val="22"/>
        </w:rPr>
        <w:t>”</w:t>
      </w:r>
      <w:r w:rsidRPr="00E53E52">
        <w:rPr>
          <w:sz w:val="22"/>
          <w:szCs w:val="22"/>
        </w:rPr>
        <w:t xml:space="preserve"> must establish that the group is (1) composed of members who share a common immutable characteristic, (2) defined with particularity, and (3) socially distinct within the society in question. The </w:t>
      </w:r>
      <w:r w:rsidR="00C909C4" w:rsidRPr="00E53E52">
        <w:rPr>
          <w:sz w:val="22"/>
          <w:szCs w:val="22"/>
        </w:rPr>
        <w:t>“</w:t>
      </w:r>
      <w:r w:rsidRPr="00E53E52">
        <w:rPr>
          <w:sz w:val="22"/>
          <w:szCs w:val="22"/>
        </w:rPr>
        <w:t>common immutable characteristic</w:t>
      </w:r>
      <w:r w:rsidR="00C909C4" w:rsidRPr="00E53E52">
        <w:rPr>
          <w:sz w:val="22"/>
          <w:szCs w:val="22"/>
        </w:rPr>
        <w:t>”</w:t>
      </w:r>
      <w:r w:rsidRPr="00E53E52">
        <w:rPr>
          <w:sz w:val="22"/>
          <w:szCs w:val="22"/>
        </w:rPr>
        <w:t xml:space="preserve"> requirement incorporates the standard set forth in </w:t>
      </w:r>
      <w:r w:rsidRPr="00E53E52">
        <w:rPr>
          <w:i/>
          <w:sz w:val="22"/>
          <w:szCs w:val="22"/>
        </w:rPr>
        <w:t>Matter of Acosta</w:t>
      </w:r>
      <w:r w:rsidRPr="00E53E52">
        <w:rPr>
          <w:sz w:val="22"/>
          <w:szCs w:val="22"/>
        </w:rPr>
        <w:t xml:space="preserve">. The </w:t>
      </w:r>
      <w:r w:rsidR="00C909C4" w:rsidRPr="00E53E52">
        <w:rPr>
          <w:sz w:val="22"/>
          <w:szCs w:val="22"/>
        </w:rPr>
        <w:t>“</w:t>
      </w:r>
      <w:r w:rsidRPr="00E53E52">
        <w:rPr>
          <w:sz w:val="22"/>
          <w:szCs w:val="22"/>
        </w:rPr>
        <w:t>particularity</w:t>
      </w:r>
      <w:r w:rsidR="00C909C4" w:rsidRPr="00E53E52">
        <w:rPr>
          <w:sz w:val="22"/>
          <w:szCs w:val="22"/>
        </w:rPr>
        <w:t>”</w:t>
      </w:r>
      <w:r w:rsidRPr="00E53E52">
        <w:rPr>
          <w:sz w:val="22"/>
          <w:szCs w:val="22"/>
        </w:rPr>
        <w:t xml:space="preserve"> requirement addresses </w:t>
      </w:r>
      <w:r w:rsidR="00C909C4" w:rsidRPr="00E53E52">
        <w:rPr>
          <w:sz w:val="22"/>
          <w:szCs w:val="22"/>
        </w:rPr>
        <w:t>“</w:t>
      </w:r>
      <w:r w:rsidRPr="00E53E52">
        <w:rPr>
          <w:sz w:val="22"/>
          <w:szCs w:val="22"/>
        </w:rPr>
        <w:t>the question of delineation.</w:t>
      </w:r>
      <w:r w:rsidR="00C909C4" w:rsidRPr="00E53E52">
        <w:rPr>
          <w:sz w:val="22"/>
          <w:szCs w:val="22"/>
        </w:rPr>
        <w:t>”</w:t>
      </w:r>
      <w:r w:rsidRPr="00E53E52">
        <w:rPr>
          <w:sz w:val="22"/>
          <w:szCs w:val="22"/>
        </w:rPr>
        <w:t xml:space="preserve"> That is, it clarifies the point that </w:t>
      </w:r>
      <w:r w:rsidR="00C909C4" w:rsidRPr="00E53E52">
        <w:rPr>
          <w:sz w:val="22"/>
          <w:szCs w:val="22"/>
        </w:rPr>
        <w:t>“</w:t>
      </w:r>
      <w:r w:rsidRPr="00E53E52">
        <w:rPr>
          <w:sz w:val="22"/>
          <w:szCs w:val="22"/>
        </w:rPr>
        <w:t xml:space="preserve">not every </w:t>
      </w:r>
      <w:r w:rsidR="00C909C4" w:rsidRPr="00E53E52">
        <w:rPr>
          <w:sz w:val="22"/>
          <w:szCs w:val="22"/>
        </w:rPr>
        <w:t>‘</w:t>
      </w:r>
      <w:r w:rsidRPr="00E53E52">
        <w:rPr>
          <w:sz w:val="22"/>
          <w:szCs w:val="22"/>
        </w:rPr>
        <w:t>immutable characteristic</w:t>
      </w:r>
      <w:r w:rsidR="00C909C4" w:rsidRPr="00E53E52">
        <w:rPr>
          <w:sz w:val="22"/>
          <w:szCs w:val="22"/>
        </w:rPr>
        <w:t>’</w:t>
      </w:r>
      <w:r w:rsidRPr="00E53E52">
        <w:rPr>
          <w:sz w:val="22"/>
          <w:szCs w:val="22"/>
        </w:rPr>
        <w:t xml:space="preserve"> is sufficiently precise to define a particular social group.</w:t>
      </w:r>
      <w:r w:rsidR="00C909C4" w:rsidRPr="00E53E52">
        <w:rPr>
          <w:sz w:val="22"/>
          <w:szCs w:val="22"/>
        </w:rPr>
        <w:t>”</w:t>
      </w:r>
      <w:r w:rsidRPr="00E53E52">
        <w:rPr>
          <w:sz w:val="22"/>
          <w:szCs w:val="22"/>
        </w:rPr>
        <w:t xml:space="preserve"> The </w:t>
      </w:r>
      <w:r w:rsidR="00C909C4" w:rsidRPr="00E53E52">
        <w:rPr>
          <w:sz w:val="22"/>
          <w:szCs w:val="22"/>
        </w:rPr>
        <w:t>“</w:t>
      </w:r>
      <w:r w:rsidRPr="00E53E52">
        <w:rPr>
          <w:sz w:val="22"/>
          <w:szCs w:val="22"/>
        </w:rPr>
        <w:t>social distinction</w:t>
      </w:r>
      <w:r w:rsidR="00C909C4" w:rsidRPr="00E53E52">
        <w:rPr>
          <w:sz w:val="22"/>
          <w:szCs w:val="22"/>
        </w:rPr>
        <w:t>”</w:t>
      </w:r>
      <w:r w:rsidRPr="00E53E52">
        <w:rPr>
          <w:sz w:val="22"/>
          <w:szCs w:val="22"/>
        </w:rPr>
        <w:t xml:space="preserve"> requirement renames the former concept of </w:t>
      </w:r>
      <w:r w:rsidR="00C909C4" w:rsidRPr="00E53E52">
        <w:rPr>
          <w:sz w:val="22"/>
          <w:szCs w:val="22"/>
        </w:rPr>
        <w:t>“</w:t>
      </w:r>
      <w:r w:rsidRPr="00E53E52">
        <w:rPr>
          <w:sz w:val="22"/>
          <w:szCs w:val="22"/>
        </w:rPr>
        <w:t>social visibility</w:t>
      </w:r>
      <w:r w:rsidR="00C909C4" w:rsidRPr="00E53E52">
        <w:rPr>
          <w:sz w:val="22"/>
          <w:szCs w:val="22"/>
        </w:rPr>
        <w:t>”</w:t>
      </w:r>
      <w:r w:rsidRPr="00E53E52">
        <w:rPr>
          <w:sz w:val="22"/>
          <w:szCs w:val="22"/>
        </w:rPr>
        <w:t xml:space="preserve"> and clarifies </w:t>
      </w:r>
      <w:r w:rsidR="00C909C4" w:rsidRPr="00E53E52">
        <w:rPr>
          <w:sz w:val="22"/>
          <w:szCs w:val="22"/>
        </w:rPr>
        <w:t>“</w:t>
      </w:r>
      <w:r w:rsidRPr="00E53E52">
        <w:rPr>
          <w:sz w:val="22"/>
          <w:szCs w:val="22"/>
        </w:rPr>
        <w:t xml:space="preserve">the importance of </w:t>
      </w:r>
      <w:r w:rsidR="00C909C4" w:rsidRPr="00E53E52">
        <w:rPr>
          <w:sz w:val="22"/>
          <w:szCs w:val="22"/>
        </w:rPr>
        <w:t>“</w:t>
      </w:r>
      <w:r w:rsidRPr="00E53E52">
        <w:rPr>
          <w:sz w:val="22"/>
          <w:szCs w:val="22"/>
        </w:rPr>
        <w:t>perception</w:t>
      </w:r>
      <w:r w:rsidR="00C909C4" w:rsidRPr="00E53E52">
        <w:rPr>
          <w:sz w:val="22"/>
          <w:szCs w:val="22"/>
        </w:rPr>
        <w:t>’</w:t>
      </w:r>
      <w:r w:rsidRPr="00E53E52">
        <w:rPr>
          <w:sz w:val="22"/>
          <w:szCs w:val="22"/>
        </w:rPr>
        <w:t xml:space="preserve"> or </w:t>
      </w:r>
      <w:r w:rsidR="00C909C4" w:rsidRPr="00E53E52">
        <w:rPr>
          <w:sz w:val="22"/>
          <w:szCs w:val="22"/>
        </w:rPr>
        <w:t>‘</w:t>
      </w:r>
      <w:r w:rsidRPr="00E53E52">
        <w:rPr>
          <w:sz w:val="22"/>
          <w:szCs w:val="22"/>
        </w:rPr>
        <w:t>recognition</w:t>
      </w:r>
      <w:r w:rsidR="00C909C4" w:rsidRPr="00E53E52">
        <w:rPr>
          <w:sz w:val="22"/>
          <w:szCs w:val="22"/>
        </w:rPr>
        <w:t>’</w:t>
      </w:r>
      <w:r w:rsidRPr="00E53E52">
        <w:rPr>
          <w:sz w:val="22"/>
          <w:szCs w:val="22"/>
        </w:rPr>
        <w:t xml:space="preserve"> to the concept of the particular social group.</w:t>
      </w:r>
      <w:r w:rsidR="00C909C4" w:rsidRPr="00E53E52">
        <w:rPr>
          <w:sz w:val="22"/>
          <w:szCs w:val="22"/>
        </w:rPr>
        <w:t>”</w:t>
      </w:r>
      <w:r w:rsidRPr="00E53E52">
        <w:rPr>
          <w:sz w:val="22"/>
          <w:szCs w:val="22"/>
        </w:rPr>
        <w:t xml:space="preserve"> </w:t>
      </w:r>
    </w:p>
    <w:p w14:paraId="40873F82" w14:textId="39F85782" w:rsidR="005E25C3" w:rsidRPr="00E53E52" w:rsidRDefault="005E25C3" w:rsidP="001D1D6E">
      <w:pPr>
        <w:pStyle w:val="TextParagraph"/>
        <w:spacing w:after="120" w:line="276" w:lineRule="auto"/>
        <w:ind w:firstLine="720"/>
        <w:rPr>
          <w:sz w:val="22"/>
          <w:szCs w:val="22"/>
        </w:rPr>
      </w:pPr>
      <w:r w:rsidRPr="00E53E52">
        <w:rPr>
          <w:sz w:val="22"/>
          <w:szCs w:val="22"/>
        </w:rPr>
        <w:t>In this case, the group is composed of members who share the common immutable characteristic of gender. Moreover, marital status can be an immutable characteristic where the individual is unable to leave the relationship. A determination of this issue will be dependent upon the particular facts and evidence in a case. A range of factors could be relevant, including whether dissolution of a marriage could be contrary to religious or other deeply held moral beliefs or if dissolution is possible when viewed in light of religious, cultural, or legal constraints. In evaluating such a claim, adjudicators must consider a respondent</w:t>
      </w:r>
      <w:r w:rsidR="00C909C4" w:rsidRPr="00E53E52">
        <w:rPr>
          <w:sz w:val="22"/>
          <w:szCs w:val="22"/>
        </w:rPr>
        <w:t>’</w:t>
      </w:r>
      <w:r w:rsidRPr="00E53E52">
        <w:rPr>
          <w:sz w:val="22"/>
          <w:szCs w:val="22"/>
        </w:rPr>
        <w:t>s own experiences, as well as more objective evidence, such as background country in- formation.</w:t>
      </w:r>
    </w:p>
    <w:p w14:paraId="1F9C3C6A" w14:textId="146B2117" w:rsidR="005E25C3" w:rsidRPr="00E53E52" w:rsidRDefault="005E25C3" w:rsidP="001D1D6E">
      <w:pPr>
        <w:pStyle w:val="TextParagraph"/>
        <w:spacing w:after="120" w:line="276" w:lineRule="auto"/>
        <w:ind w:firstLine="720"/>
        <w:rPr>
          <w:sz w:val="22"/>
          <w:szCs w:val="22"/>
        </w:rPr>
      </w:pPr>
      <w:r w:rsidRPr="00E53E52">
        <w:rPr>
          <w:sz w:val="22"/>
          <w:szCs w:val="22"/>
        </w:rPr>
        <w:t>The DHS concedes that the group in this case is defined with particularity. The terms used to describe the group</w:t>
      </w:r>
      <w:r w:rsidR="00DA2A7D" w:rsidRPr="00E53E52">
        <w:rPr>
          <w:sz w:val="22"/>
          <w:szCs w:val="22"/>
        </w:rPr>
        <w:t>—</w:t>
      </w:r>
      <w:r w:rsidR="00C909C4" w:rsidRPr="00E53E52">
        <w:rPr>
          <w:sz w:val="22"/>
          <w:szCs w:val="22"/>
        </w:rPr>
        <w:t>”</w:t>
      </w:r>
      <w:r w:rsidR="00DA2A7D" w:rsidRPr="00E53E52">
        <w:rPr>
          <w:sz w:val="22"/>
          <w:szCs w:val="22"/>
        </w:rPr>
        <w:t>married</w:t>
      </w:r>
      <w:r w:rsidRPr="00E53E52">
        <w:rPr>
          <w:sz w:val="22"/>
          <w:szCs w:val="22"/>
        </w:rPr>
        <w:t>,</w:t>
      </w:r>
      <w:r w:rsidR="00C909C4" w:rsidRPr="00E53E52">
        <w:rPr>
          <w:sz w:val="22"/>
          <w:szCs w:val="22"/>
        </w:rPr>
        <w:t>”</w:t>
      </w:r>
      <w:r w:rsidRPr="00E53E52">
        <w:rPr>
          <w:sz w:val="22"/>
          <w:szCs w:val="22"/>
        </w:rPr>
        <w:t xml:space="preserve"> </w:t>
      </w:r>
      <w:r w:rsidR="00C909C4" w:rsidRPr="00E53E52">
        <w:rPr>
          <w:sz w:val="22"/>
          <w:szCs w:val="22"/>
        </w:rPr>
        <w:t>“</w:t>
      </w:r>
      <w:r w:rsidRPr="00E53E52">
        <w:rPr>
          <w:sz w:val="22"/>
          <w:szCs w:val="22"/>
        </w:rPr>
        <w:t>women,</w:t>
      </w:r>
      <w:r w:rsidR="00C909C4" w:rsidRPr="00E53E52">
        <w:rPr>
          <w:sz w:val="22"/>
          <w:szCs w:val="22"/>
        </w:rPr>
        <w:t>”</w:t>
      </w:r>
      <w:r w:rsidRPr="00E53E52">
        <w:rPr>
          <w:sz w:val="22"/>
          <w:szCs w:val="22"/>
        </w:rPr>
        <w:t xml:space="preserve"> and </w:t>
      </w:r>
      <w:r w:rsidR="00C909C4" w:rsidRPr="00E53E52">
        <w:rPr>
          <w:sz w:val="22"/>
          <w:szCs w:val="22"/>
        </w:rPr>
        <w:t>“</w:t>
      </w:r>
      <w:r w:rsidRPr="00E53E52">
        <w:rPr>
          <w:sz w:val="22"/>
          <w:szCs w:val="22"/>
        </w:rPr>
        <w:t>unable to leave the relationship</w:t>
      </w:r>
      <w:r w:rsidR="00C909C4" w:rsidRPr="00E53E52">
        <w:rPr>
          <w:sz w:val="22"/>
          <w:szCs w:val="22"/>
        </w:rPr>
        <w:t>”</w:t>
      </w:r>
      <w:r w:rsidRPr="00E53E52">
        <w:rPr>
          <w:sz w:val="22"/>
          <w:szCs w:val="22"/>
        </w:rPr>
        <w:t>—</w:t>
      </w:r>
      <w:r w:rsidRPr="00E53E52">
        <w:rPr>
          <w:sz w:val="22"/>
          <w:szCs w:val="22"/>
        </w:rPr>
        <w:lastRenderedPageBreak/>
        <w:t>have commonly accepted definitions within Guatemalan society based on the facts in this case, including the respondent</w:t>
      </w:r>
      <w:r w:rsidR="00C909C4" w:rsidRPr="00E53E52">
        <w:rPr>
          <w:sz w:val="22"/>
          <w:szCs w:val="22"/>
        </w:rPr>
        <w:t>’</w:t>
      </w:r>
      <w:r w:rsidRPr="00E53E52">
        <w:rPr>
          <w:sz w:val="22"/>
          <w:szCs w:val="22"/>
        </w:rPr>
        <w:t>s experience with the police. In some circumstances, the terms can combine to create a group with discrete and definable boundaries. We point out that a married woman</w:t>
      </w:r>
      <w:r w:rsidR="00C909C4" w:rsidRPr="00E53E52">
        <w:rPr>
          <w:sz w:val="22"/>
          <w:szCs w:val="22"/>
        </w:rPr>
        <w:t>’</w:t>
      </w:r>
      <w:r w:rsidRPr="00E53E52">
        <w:rPr>
          <w:sz w:val="22"/>
          <w:szCs w:val="22"/>
        </w:rPr>
        <w:t xml:space="preserve">s inability to leave the relationship may be informed by societal expectations about gender and subordination, as well as legal constraints regarding divorce and separation. </w:t>
      </w:r>
      <w:r w:rsidRPr="00E53E52">
        <w:rPr>
          <w:i/>
          <w:sz w:val="22"/>
          <w:szCs w:val="22"/>
        </w:rPr>
        <w:t>See Matter of W-G-R-</w:t>
      </w:r>
      <w:r w:rsidRPr="00E53E52">
        <w:rPr>
          <w:sz w:val="22"/>
          <w:szCs w:val="22"/>
        </w:rPr>
        <w:t>, 26 I&amp;N Dec. at 214 (observing that in evaluating a group</w:t>
      </w:r>
      <w:r w:rsidR="00C909C4" w:rsidRPr="00E53E52">
        <w:rPr>
          <w:sz w:val="22"/>
          <w:szCs w:val="22"/>
        </w:rPr>
        <w:t>’</w:t>
      </w:r>
      <w:r w:rsidRPr="00E53E52">
        <w:rPr>
          <w:sz w:val="22"/>
          <w:szCs w:val="22"/>
        </w:rPr>
        <w:t>s particularity, it may be necessary to take into account the social and cultural context of the alien</w:t>
      </w:r>
      <w:r w:rsidR="00C909C4" w:rsidRPr="00E53E52">
        <w:rPr>
          <w:sz w:val="22"/>
          <w:szCs w:val="22"/>
        </w:rPr>
        <w:t>’</w:t>
      </w:r>
      <w:r w:rsidRPr="00E53E52">
        <w:rPr>
          <w:sz w:val="22"/>
          <w:szCs w:val="22"/>
        </w:rPr>
        <w:t xml:space="preserve">s country of citizenship or nationality); Committees on Foreign Relations and Foreign Affairs, 111th Cong., 2d Sess., </w:t>
      </w:r>
      <w:r w:rsidRPr="00E53E52">
        <w:rPr>
          <w:i/>
          <w:sz w:val="22"/>
          <w:szCs w:val="22"/>
        </w:rPr>
        <w:t>Country Reports on Human Rights Practices for 2008</w:t>
      </w:r>
      <w:r w:rsidRPr="00E53E52">
        <w:rPr>
          <w:sz w:val="22"/>
          <w:szCs w:val="22"/>
        </w:rPr>
        <w:t xml:space="preserve"> 2598 (Joint Comm. Print 2010) (</w:t>
      </w:r>
      <w:r w:rsidR="00C909C4" w:rsidRPr="00E53E52">
        <w:rPr>
          <w:sz w:val="22"/>
          <w:szCs w:val="22"/>
        </w:rPr>
        <w:t>“</w:t>
      </w:r>
      <w:r w:rsidRPr="00E53E52">
        <w:rPr>
          <w:i/>
          <w:sz w:val="22"/>
          <w:szCs w:val="22"/>
        </w:rPr>
        <w:t>Country Reports</w:t>
      </w:r>
      <w:r w:rsidR="00C909C4" w:rsidRPr="00E53E52">
        <w:rPr>
          <w:sz w:val="22"/>
          <w:szCs w:val="22"/>
        </w:rPr>
        <w:t>”</w:t>
      </w:r>
      <w:r w:rsidRPr="00E53E52">
        <w:rPr>
          <w:sz w:val="22"/>
          <w:szCs w:val="22"/>
        </w:rPr>
        <w:t>) (discussing sexual offenses against women as a serious societal problem in Guatemala); Bureau of Human Rights, Democracy, and Labor, U.S. Dep</w:t>
      </w:r>
      <w:r w:rsidR="00C909C4" w:rsidRPr="00E53E52">
        <w:rPr>
          <w:sz w:val="22"/>
          <w:szCs w:val="22"/>
        </w:rPr>
        <w:t>’</w:t>
      </w:r>
      <w:r w:rsidRPr="00E53E52">
        <w:rPr>
          <w:sz w:val="22"/>
          <w:szCs w:val="22"/>
        </w:rPr>
        <w:t xml:space="preserve">t of State, </w:t>
      </w:r>
      <w:r w:rsidRPr="00E53E52">
        <w:rPr>
          <w:i/>
          <w:sz w:val="22"/>
          <w:szCs w:val="22"/>
        </w:rPr>
        <w:t>Guatemala Country Reports on Human Rights Practices-2008</w:t>
      </w:r>
      <w:r w:rsidRPr="00E53E52">
        <w:rPr>
          <w:sz w:val="22"/>
          <w:szCs w:val="22"/>
        </w:rPr>
        <w:t xml:space="preserve"> (Feb. 25, 2009).</w:t>
      </w:r>
      <w:r w:rsidRPr="00E53E52">
        <w:rPr>
          <w:rStyle w:val="FootnoteReference"/>
          <w:sz w:val="22"/>
          <w:szCs w:val="22"/>
        </w:rPr>
        <w:footnoteReference w:customMarkFollows="1" w:id="11"/>
        <w:t>14</w:t>
      </w:r>
      <w:r w:rsidRPr="00E53E52">
        <w:rPr>
          <w:sz w:val="22"/>
          <w:szCs w:val="22"/>
        </w:rPr>
        <w:t xml:space="preserve"> In this case, it is significant that the respondent sought protection from her spouse</w:t>
      </w:r>
      <w:r w:rsidR="00C909C4" w:rsidRPr="00E53E52">
        <w:rPr>
          <w:sz w:val="22"/>
          <w:szCs w:val="22"/>
        </w:rPr>
        <w:t>’</w:t>
      </w:r>
      <w:r w:rsidRPr="00E53E52">
        <w:rPr>
          <w:sz w:val="22"/>
          <w:szCs w:val="22"/>
        </w:rPr>
        <w:t>s abuse and that the police refused to assist her because they would not interfere in a marital relationship.</w:t>
      </w:r>
    </w:p>
    <w:p w14:paraId="47C66E59" w14:textId="660AA5B1" w:rsidR="005E25C3" w:rsidRPr="00E53E52" w:rsidRDefault="005E25C3" w:rsidP="001D1D6E">
      <w:pPr>
        <w:pStyle w:val="TextParagraph"/>
        <w:spacing w:after="120" w:line="276" w:lineRule="auto"/>
        <w:ind w:firstLine="720"/>
        <w:rPr>
          <w:sz w:val="22"/>
          <w:szCs w:val="22"/>
        </w:rPr>
      </w:pPr>
      <w:r w:rsidRPr="00E53E52">
        <w:rPr>
          <w:sz w:val="22"/>
          <w:szCs w:val="22"/>
        </w:rPr>
        <w:t xml:space="preserve">The group is also socially distinct within the society in question. To have </w:t>
      </w:r>
      <w:r w:rsidR="00C909C4" w:rsidRPr="00E53E52">
        <w:rPr>
          <w:sz w:val="22"/>
          <w:szCs w:val="22"/>
        </w:rPr>
        <w:t>“</w:t>
      </w:r>
      <w:r w:rsidRPr="00E53E52">
        <w:rPr>
          <w:sz w:val="22"/>
          <w:szCs w:val="22"/>
        </w:rPr>
        <w:t>social distinction,</w:t>
      </w:r>
      <w:r w:rsidR="00C909C4" w:rsidRPr="00E53E52">
        <w:rPr>
          <w:sz w:val="22"/>
          <w:szCs w:val="22"/>
        </w:rPr>
        <w:t>”</w:t>
      </w:r>
      <w:r w:rsidRPr="00E53E52">
        <w:rPr>
          <w:sz w:val="22"/>
          <w:szCs w:val="22"/>
        </w:rPr>
        <w:t xml:space="preserve"> there must be </w:t>
      </w:r>
      <w:r w:rsidR="00C909C4" w:rsidRPr="00E53E52">
        <w:rPr>
          <w:sz w:val="22"/>
          <w:szCs w:val="22"/>
        </w:rPr>
        <w:t>“</w:t>
      </w:r>
      <w:r w:rsidRPr="00E53E52">
        <w:rPr>
          <w:sz w:val="22"/>
          <w:szCs w:val="22"/>
        </w:rPr>
        <w:t>evidence showing that society in general perceives, considers, or recognizes persons sharing the particular characteristic to be a group.</w:t>
      </w:r>
      <w:r w:rsidR="00C909C4" w:rsidRPr="00E53E52">
        <w:rPr>
          <w:sz w:val="22"/>
          <w:szCs w:val="22"/>
        </w:rPr>
        <w:t>”</w:t>
      </w:r>
      <w:r w:rsidRPr="00E53E52">
        <w:rPr>
          <w:sz w:val="22"/>
          <w:szCs w:val="22"/>
        </w:rPr>
        <w:t xml:space="preserve"> The group</w:t>
      </w:r>
      <w:r w:rsidR="00C909C4" w:rsidRPr="00E53E52">
        <w:rPr>
          <w:sz w:val="22"/>
          <w:szCs w:val="22"/>
        </w:rPr>
        <w:t>’</w:t>
      </w:r>
      <w:r w:rsidRPr="00E53E52">
        <w:rPr>
          <w:sz w:val="22"/>
          <w:szCs w:val="22"/>
        </w:rPr>
        <w:t xml:space="preserve">s recognition is </w:t>
      </w:r>
      <w:r w:rsidR="00C909C4" w:rsidRPr="00E53E52">
        <w:rPr>
          <w:sz w:val="22"/>
          <w:szCs w:val="22"/>
        </w:rPr>
        <w:t>“</w:t>
      </w:r>
      <w:r w:rsidRPr="00E53E52">
        <w:rPr>
          <w:sz w:val="22"/>
          <w:szCs w:val="22"/>
        </w:rPr>
        <w:t>determined by the perception of the society in question, rather than by the perception of the persecutor.</w:t>
      </w:r>
      <w:r w:rsidR="00C909C4" w:rsidRPr="00E53E52">
        <w:rPr>
          <w:sz w:val="22"/>
          <w:szCs w:val="22"/>
        </w:rPr>
        <w:t>”</w:t>
      </w:r>
      <w:r w:rsidRPr="00E53E52">
        <w:rPr>
          <w:rStyle w:val="FootnoteReference"/>
          <w:sz w:val="22"/>
          <w:szCs w:val="22"/>
        </w:rPr>
        <w:footnoteReference w:customMarkFollows="1" w:id="12"/>
        <w:t>15</w:t>
      </w:r>
      <w:r w:rsidRPr="00E53E52">
        <w:rPr>
          <w:sz w:val="22"/>
          <w:szCs w:val="22"/>
        </w:rPr>
        <w:t xml:space="preserve"> </w:t>
      </w:r>
    </w:p>
    <w:p w14:paraId="22841CE2" w14:textId="77777777" w:rsidR="005E25C3" w:rsidRPr="00E53E52" w:rsidRDefault="005E25C3" w:rsidP="001D1D6E">
      <w:pPr>
        <w:pStyle w:val="TextParagraph"/>
        <w:spacing w:after="120" w:line="276" w:lineRule="auto"/>
        <w:ind w:firstLine="720"/>
        <w:rPr>
          <w:sz w:val="22"/>
          <w:szCs w:val="22"/>
        </w:rPr>
      </w:pPr>
      <w:r w:rsidRPr="00E53E52">
        <w:rPr>
          <w:sz w:val="22"/>
          <w:szCs w:val="22"/>
        </w:rPr>
        <w:t xml:space="preserve">When evaluating the issue of social distinction, we look to the evidence to determine whether a society, such as Guatemalan society in this case, makes meaningful distinctions based on the common immutable characteristics of being a married woman in a domestic relationship that she cannot leave. Such evidence would include whether the society in question recognizes the need to offer protection to victims of domestic violence, including whether the country has criminal laws designed to protect domestic abuse victims, whether those laws are effectively enforced, and other sociopolitical factors. </w:t>
      </w:r>
      <w:r w:rsidRPr="00E53E52">
        <w:rPr>
          <w:i/>
          <w:sz w:val="22"/>
          <w:szCs w:val="22"/>
        </w:rPr>
        <w:t>Cf. Davila-Mejia v. Mukasey</w:t>
      </w:r>
      <w:r w:rsidRPr="00E53E52">
        <w:rPr>
          <w:sz w:val="22"/>
          <w:szCs w:val="22"/>
        </w:rPr>
        <w:t>, 531 F.3d 624, 629 (8th Cir. 2008) (finding that competing family business owners are not a particular social group because they are not perceived as a group by society).</w:t>
      </w:r>
    </w:p>
    <w:p w14:paraId="4154C7B1" w14:textId="23DFB023" w:rsidR="005E25C3" w:rsidRPr="00E53E52" w:rsidRDefault="005E25C3" w:rsidP="001D1D6E">
      <w:pPr>
        <w:pStyle w:val="TextParagraph"/>
        <w:spacing w:after="120" w:line="276" w:lineRule="auto"/>
        <w:ind w:firstLine="720"/>
        <w:rPr>
          <w:sz w:val="22"/>
          <w:szCs w:val="22"/>
        </w:rPr>
      </w:pPr>
      <w:r w:rsidRPr="00E53E52">
        <w:rPr>
          <w:sz w:val="22"/>
          <w:szCs w:val="22"/>
        </w:rPr>
        <w:t>Supporting the existence of social distinction, and in accord with the DHS</w:t>
      </w:r>
      <w:r w:rsidR="00C909C4" w:rsidRPr="00E53E52">
        <w:rPr>
          <w:sz w:val="22"/>
          <w:szCs w:val="22"/>
        </w:rPr>
        <w:t>’</w:t>
      </w:r>
      <w:r w:rsidRPr="00E53E52">
        <w:rPr>
          <w:sz w:val="22"/>
          <w:szCs w:val="22"/>
        </w:rPr>
        <w:t xml:space="preserve">s concession that a particular social group exists, the record in this case includes unrebutted evidence that Guatemala has a culture of </w:t>
      </w:r>
      <w:r w:rsidR="00C909C4" w:rsidRPr="00E53E52">
        <w:rPr>
          <w:sz w:val="22"/>
          <w:szCs w:val="22"/>
        </w:rPr>
        <w:t>“</w:t>
      </w:r>
      <w:r w:rsidRPr="00E53E52">
        <w:rPr>
          <w:sz w:val="22"/>
          <w:szCs w:val="22"/>
        </w:rPr>
        <w:t>machismo and family violence.</w:t>
      </w:r>
      <w:r w:rsidR="00C909C4" w:rsidRPr="00E53E52">
        <w:rPr>
          <w:sz w:val="22"/>
          <w:szCs w:val="22"/>
        </w:rPr>
        <w:t>”</w:t>
      </w:r>
      <w:r w:rsidRPr="00E53E52">
        <w:rPr>
          <w:sz w:val="22"/>
          <w:szCs w:val="22"/>
        </w:rPr>
        <w:t xml:space="preserve"> </w:t>
      </w:r>
      <w:r w:rsidRPr="00E53E52">
        <w:rPr>
          <w:i/>
          <w:sz w:val="22"/>
          <w:szCs w:val="22"/>
        </w:rPr>
        <w:t xml:space="preserve">See Guatemala Failing Its Murdered Women: Report, </w:t>
      </w:r>
      <w:r w:rsidRPr="00E53E52">
        <w:rPr>
          <w:sz w:val="22"/>
          <w:szCs w:val="22"/>
        </w:rPr>
        <w:t>Canadian Broad. Corp</w:t>
      </w:r>
      <w:r w:rsidRPr="00E53E52">
        <w:rPr>
          <w:i/>
          <w:sz w:val="22"/>
          <w:szCs w:val="22"/>
        </w:rPr>
        <w:t>.</w:t>
      </w:r>
      <w:r w:rsidRPr="00E53E52">
        <w:rPr>
          <w:sz w:val="22"/>
          <w:szCs w:val="22"/>
        </w:rPr>
        <w:t xml:space="preserve"> (July 18, 2006). Sexual offenses, including spousal rape, remain a serious problem. </w:t>
      </w:r>
      <w:r w:rsidRPr="00E53E52">
        <w:rPr>
          <w:i/>
          <w:sz w:val="22"/>
          <w:szCs w:val="22"/>
        </w:rPr>
        <w:t>See</w:t>
      </w:r>
      <w:r w:rsidRPr="00E53E52">
        <w:rPr>
          <w:sz w:val="22"/>
          <w:szCs w:val="22"/>
        </w:rPr>
        <w:t xml:space="preserve"> </w:t>
      </w:r>
      <w:r w:rsidRPr="00E53E52">
        <w:rPr>
          <w:i/>
          <w:sz w:val="22"/>
          <w:szCs w:val="22"/>
        </w:rPr>
        <w:t>Country Reports,</w:t>
      </w:r>
      <w:r w:rsidRPr="00E53E52">
        <w:rPr>
          <w:sz w:val="22"/>
          <w:szCs w:val="22"/>
        </w:rPr>
        <w:t xml:space="preserve"> </w:t>
      </w:r>
      <w:r w:rsidRPr="00E53E52">
        <w:rPr>
          <w:i/>
          <w:sz w:val="22"/>
          <w:szCs w:val="22"/>
        </w:rPr>
        <w:t>supra</w:t>
      </w:r>
      <w:r w:rsidRPr="00E53E52">
        <w:rPr>
          <w:sz w:val="22"/>
          <w:szCs w:val="22"/>
        </w:rPr>
        <w:t xml:space="preserve">, at 2608. Further, although the record reflects that Guatemala has laws in place to prosecute domestic violence </w:t>
      </w:r>
      <w:r w:rsidRPr="00E53E52">
        <w:rPr>
          <w:sz w:val="22"/>
          <w:szCs w:val="22"/>
        </w:rPr>
        <w:lastRenderedPageBreak/>
        <w:t xml:space="preserve">crimes, enforcement can be problematic because the National Civilian Police </w:t>
      </w:r>
      <w:r w:rsidR="00C909C4" w:rsidRPr="00E53E52">
        <w:rPr>
          <w:sz w:val="22"/>
          <w:szCs w:val="22"/>
        </w:rPr>
        <w:t>“</w:t>
      </w:r>
      <w:r w:rsidRPr="00E53E52">
        <w:rPr>
          <w:sz w:val="22"/>
          <w:szCs w:val="22"/>
        </w:rPr>
        <w:t>often failed to respond to re- quests for assistance related to domestic violence.</w:t>
      </w:r>
      <w:r w:rsidR="00C909C4" w:rsidRPr="00E53E52">
        <w:rPr>
          <w:sz w:val="22"/>
          <w:szCs w:val="22"/>
        </w:rPr>
        <w:t>”</w:t>
      </w:r>
      <w:r w:rsidRPr="00E53E52">
        <w:rPr>
          <w:sz w:val="22"/>
          <w:szCs w:val="22"/>
        </w:rPr>
        <w:t xml:space="preserve"> </w:t>
      </w:r>
      <w:r w:rsidRPr="00E53E52">
        <w:rPr>
          <w:i/>
          <w:sz w:val="22"/>
          <w:szCs w:val="22"/>
        </w:rPr>
        <w:t>Id</w:t>
      </w:r>
      <w:r w:rsidRPr="00E53E52">
        <w:rPr>
          <w:sz w:val="22"/>
          <w:szCs w:val="22"/>
        </w:rPr>
        <w:t>. at 2609.</w:t>
      </w:r>
    </w:p>
    <w:p w14:paraId="6C7DB6FA" w14:textId="0393547E" w:rsidR="005E25C3" w:rsidRPr="00E53E52" w:rsidRDefault="005E25C3" w:rsidP="001D1D6E">
      <w:pPr>
        <w:pStyle w:val="TextParagraph"/>
        <w:spacing w:after="120" w:line="276" w:lineRule="auto"/>
        <w:ind w:firstLine="720"/>
        <w:rPr>
          <w:sz w:val="22"/>
          <w:szCs w:val="22"/>
        </w:rPr>
      </w:pPr>
      <w:r w:rsidRPr="00E53E52">
        <w:rPr>
          <w:sz w:val="22"/>
          <w:szCs w:val="22"/>
        </w:rPr>
        <w:t>We point out that cases arising in the context of domestic violence generally involve unique and discrete issues not present in other particular social group determinations, which extends to the matter of social distinction. However, even within the domestic violence context, the issue of social distinction will depend on the facts and evidence in each individual case, including documented country conditions; law enforcement statistics and expert witnesses, if proffered; the respondent</w:t>
      </w:r>
      <w:r w:rsidR="00C909C4" w:rsidRPr="00E53E52">
        <w:rPr>
          <w:sz w:val="22"/>
          <w:szCs w:val="22"/>
        </w:rPr>
        <w:t>’</w:t>
      </w:r>
      <w:r w:rsidRPr="00E53E52">
        <w:rPr>
          <w:sz w:val="22"/>
          <w:szCs w:val="22"/>
        </w:rPr>
        <w:t>s past experiences; and other reliable and credible sources of information</w:t>
      </w:r>
    </w:p>
    <w:p w14:paraId="2DE18151" w14:textId="4FC20319" w:rsidR="005E25C3" w:rsidRPr="00E53E52" w:rsidRDefault="001D1D6E" w:rsidP="001D1D6E">
      <w:pPr>
        <w:spacing w:before="100" w:after="120"/>
        <w:jc w:val="center"/>
        <w:rPr>
          <w:rFonts w:ascii="Century Schoolbook" w:hAnsi="Century Schoolbook"/>
        </w:rPr>
      </w:pPr>
      <w:r w:rsidRPr="00E53E52">
        <w:rPr>
          <w:rFonts w:ascii="Century Schoolbook" w:hAnsi="Century Schoolbook"/>
        </w:rPr>
        <w:t xml:space="preserve">C. </w:t>
      </w:r>
      <w:r w:rsidR="005E25C3" w:rsidRPr="00E53E52">
        <w:rPr>
          <w:rFonts w:ascii="Century Schoolbook" w:hAnsi="Century Schoolbook"/>
        </w:rPr>
        <w:t>Remaining Issues</w:t>
      </w:r>
    </w:p>
    <w:p w14:paraId="3F2ADADD" w14:textId="77777777" w:rsidR="005E25C3" w:rsidRPr="00E53E52" w:rsidRDefault="005E25C3" w:rsidP="001D1D6E">
      <w:pPr>
        <w:pStyle w:val="TextParagraph"/>
        <w:spacing w:after="120" w:line="276" w:lineRule="auto"/>
        <w:ind w:firstLine="720"/>
        <w:rPr>
          <w:sz w:val="22"/>
          <w:szCs w:val="22"/>
        </w:rPr>
      </w:pPr>
      <w:r w:rsidRPr="00E53E52">
        <w:rPr>
          <w:sz w:val="22"/>
          <w:szCs w:val="22"/>
        </w:rPr>
        <w:t>The DHS stipulates that the respondent suffered mistreatment rising to the level of past persecution. The DHS also concedes in this case that the mistreatment was, for at least one central reason, on account of her membership in a cognizable particular social group. We note that in cases where concessions are not made and accepted as binding, these issues will be decided based on the particular facts and evidence on a case-by-case basis as addressed by the Immigration Judge in the first instance. In particular, the issue of nexus will depend on the facts and circumstances of an individual claim.</w:t>
      </w:r>
    </w:p>
    <w:p w14:paraId="6A1B3357" w14:textId="17CF5E60" w:rsidR="005E25C3" w:rsidRPr="00E53E52" w:rsidRDefault="005E25C3" w:rsidP="001D1D6E">
      <w:pPr>
        <w:pStyle w:val="TextParagraph"/>
        <w:spacing w:after="120" w:line="276" w:lineRule="auto"/>
        <w:ind w:firstLine="720"/>
        <w:rPr>
          <w:sz w:val="22"/>
          <w:szCs w:val="22"/>
        </w:rPr>
      </w:pPr>
      <w:r w:rsidRPr="00E53E52">
        <w:rPr>
          <w:sz w:val="22"/>
          <w:szCs w:val="22"/>
        </w:rPr>
        <w:t>We will remand the record for the Immigration Judge to address the respondent</w:t>
      </w:r>
      <w:r w:rsidR="00C909C4" w:rsidRPr="00E53E52">
        <w:rPr>
          <w:sz w:val="22"/>
          <w:szCs w:val="22"/>
        </w:rPr>
        <w:t>’</w:t>
      </w:r>
      <w:r w:rsidRPr="00E53E52">
        <w:rPr>
          <w:sz w:val="22"/>
          <w:szCs w:val="22"/>
        </w:rPr>
        <w:t xml:space="preserve">s statutory eligibility for asylum in light of this decision. Under controlling circuit law, in order for the respondent to prevail on an asylum claim based on past persecution, she must demonstrate that the Guatemalan Government was unwilling or unable to control the </w:t>
      </w:r>
      <w:r w:rsidR="00C909C4" w:rsidRPr="00E53E52">
        <w:rPr>
          <w:sz w:val="22"/>
          <w:szCs w:val="22"/>
        </w:rPr>
        <w:t>“</w:t>
      </w:r>
      <w:r w:rsidRPr="00E53E52">
        <w:rPr>
          <w:sz w:val="22"/>
          <w:szCs w:val="22"/>
        </w:rPr>
        <w:t>private</w:t>
      </w:r>
      <w:r w:rsidR="00C909C4" w:rsidRPr="00E53E52">
        <w:rPr>
          <w:sz w:val="22"/>
          <w:szCs w:val="22"/>
        </w:rPr>
        <w:t>”</w:t>
      </w:r>
      <w:r w:rsidRPr="00E53E52">
        <w:rPr>
          <w:sz w:val="22"/>
          <w:szCs w:val="22"/>
        </w:rPr>
        <w:t xml:space="preserve"> actor.</w:t>
      </w:r>
    </w:p>
    <w:p w14:paraId="308D6F64" w14:textId="0AC9721C" w:rsidR="005E25C3" w:rsidRPr="00E53E52" w:rsidRDefault="005E25C3" w:rsidP="001D1D6E">
      <w:pPr>
        <w:pStyle w:val="TextParagraph"/>
        <w:spacing w:after="120" w:line="276" w:lineRule="auto"/>
        <w:ind w:firstLine="720"/>
        <w:rPr>
          <w:sz w:val="22"/>
          <w:szCs w:val="22"/>
        </w:rPr>
      </w:pPr>
      <w:r w:rsidRPr="00E53E52">
        <w:rPr>
          <w:sz w:val="22"/>
          <w:szCs w:val="22"/>
        </w:rPr>
        <w:t>If the respondent succeeds in establishing that the Government was unwilling or unable to control her husband, the burden shifts to the DHS to demonstrate that there has been a fundamental change in circumstances such that the respondent no longer has a well-founded fear of persecution. Alternatively, the DHS would bear the burden of showing that internal relocation is possible and is not unreasonable. The Immigration Judge may also consider, if appropriate, whether the respondent is eligible for humanitarian asylum.</w:t>
      </w:r>
      <w:r w:rsidRPr="00E53E52">
        <w:rPr>
          <w:rStyle w:val="FootnoteReference"/>
          <w:sz w:val="22"/>
          <w:szCs w:val="22"/>
        </w:rPr>
        <w:footnoteReference w:customMarkFollows="1" w:id="13"/>
        <w:t>b</w:t>
      </w:r>
      <w:r w:rsidRPr="00E53E52">
        <w:rPr>
          <w:sz w:val="22"/>
          <w:szCs w:val="22"/>
        </w:rPr>
        <w:t xml:space="preserve"> </w:t>
      </w:r>
    </w:p>
    <w:p w14:paraId="3CF7208D" w14:textId="77777777" w:rsidR="005E25C3" w:rsidRPr="00E53E52" w:rsidRDefault="005E25C3" w:rsidP="006E4C5A">
      <w:pPr>
        <w:spacing w:after="0"/>
        <w:jc w:val="center"/>
        <w:rPr>
          <w:rFonts w:ascii="Century Schoolbook" w:hAnsi="Century Schoolbook"/>
        </w:rPr>
      </w:pPr>
      <w:r w:rsidRPr="00E53E52">
        <w:rPr>
          <w:rFonts w:ascii="Century Schoolbook" w:hAnsi="Century Schoolbook"/>
        </w:rPr>
        <w:t>* * *</w:t>
      </w:r>
    </w:p>
    <w:p w14:paraId="6FA8972A" w14:textId="77777777" w:rsidR="00C2331D" w:rsidRPr="00E53E52" w:rsidRDefault="00C2331D" w:rsidP="001D1D6E">
      <w:pPr>
        <w:spacing w:after="120"/>
        <w:jc w:val="both"/>
        <w:rPr>
          <w:rFonts w:ascii="Century Schoolbook" w:hAnsi="Century Schoolbook"/>
          <w:b/>
        </w:rPr>
      </w:pPr>
      <w:r w:rsidRPr="00E53E52">
        <w:rPr>
          <w:rFonts w:ascii="Century Schoolbook" w:hAnsi="Century Schoolbook"/>
          <w:b/>
        </w:rPr>
        <w:t xml:space="preserve">p. 440, rename heading as </w:t>
      </w:r>
      <w:r w:rsidRPr="00E53E52">
        <w:rPr>
          <w:rFonts w:ascii="Century Schoolbook" w:hAnsi="Century Schoolbook"/>
          <w:b/>
          <w:i/>
        </w:rPr>
        <w:t>Notes and Questions on Asylum Claims based on Domestic A</w:t>
      </w:r>
      <w:r w:rsidR="009641F4" w:rsidRPr="00E53E52">
        <w:rPr>
          <w:rFonts w:ascii="Century Schoolbook" w:hAnsi="Century Schoolbook"/>
          <w:b/>
          <w:i/>
        </w:rPr>
        <w:t>buse</w:t>
      </w:r>
      <w:r w:rsidR="00D028EA" w:rsidRPr="00E53E52">
        <w:rPr>
          <w:rFonts w:ascii="Century Schoolbook" w:hAnsi="Century Schoolbook"/>
          <w:b/>
        </w:rPr>
        <w:t>, and add new Notes 1 and 2:</w:t>
      </w:r>
    </w:p>
    <w:p w14:paraId="31BC0D36" w14:textId="689A8A6D" w:rsidR="009D6432" w:rsidRPr="00E53E52" w:rsidRDefault="00E87A4F" w:rsidP="001D1D6E">
      <w:pPr>
        <w:pStyle w:val="TextParagraph"/>
        <w:spacing w:after="120" w:line="276" w:lineRule="auto"/>
        <w:ind w:firstLine="720"/>
      </w:pPr>
      <w:r w:rsidRPr="00E53E52">
        <w:t>1.</w:t>
      </w:r>
      <w:r w:rsidR="00810FDA" w:rsidRPr="00E53E52">
        <w:t xml:space="preserve"> </w:t>
      </w:r>
      <w:r w:rsidRPr="00E53E52">
        <w:rPr>
          <w:caps/>
        </w:rPr>
        <w:t>B</w:t>
      </w:r>
      <w:r w:rsidRPr="00E53E52">
        <w:t xml:space="preserve">oth </w:t>
      </w:r>
      <w:r w:rsidRPr="00E53E52">
        <w:rPr>
          <w:i/>
        </w:rPr>
        <w:t>Matter of A-R-C-G-</w:t>
      </w:r>
      <w:r w:rsidRPr="00E53E52">
        <w:t xml:space="preserve"> and </w:t>
      </w:r>
      <w:r w:rsidRPr="00E53E52">
        <w:rPr>
          <w:i/>
        </w:rPr>
        <w:t>Matter of R-A-</w:t>
      </w:r>
      <w:r w:rsidR="00EC59AD" w:rsidRPr="00E53E52">
        <w:rPr>
          <w:i/>
        </w:rPr>
        <w:t xml:space="preserve"> </w:t>
      </w:r>
      <w:r w:rsidR="00EC59AD" w:rsidRPr="00E53E52">
        <w:t xml:space="preserve">arose </w:t>
      </w:r>
      <w:r w:rsidR="003F4953" w:rsidRPr="00E53E52">
        <w:t xml:space="preserve">when married women fled </w:t>
      </w:r>
      <w:r w:rsidR="00084128" w:rsidRPr="00E53E52">
        <w:t>repeated physical violence inflicted b</w:t>
      </w:r>
      <w:r w:rsidR="00EB379C" w:rsidRPr="00E53E52">
        <w:t>y their husbands in Guatemala and sought asylum in the United States.</w:t>
      </w:r>
      <w:r w:rsidR="00810FDA" w:rsidRPr="00E53E52">
        <w:t xml:space="preserve"> </w:t>
      </w:r>
      <w:r w:rsidR="00072DC4" w:rsidRPr="00E53E52">
        <w:t>Social attitudes re</w:t>
      </w:r>
      <w:r w:rsidR="00DD64C0" w:rsidRPr="00E53E52">
        <w:t>cognizing</w:t>
      </w:r>
      <w:r w:rsidR="00072DC4" w:rsidRPr="00E53E52">
        <w:t xml:space="preserve"> </w:t>
      </w:r>
      <w:r w:rsidR="006D6223" w:rsidRPr="00E53E52">
        <w:t xml:space="preserve">the </w:t>
      </w:r>
      <w:r w:rsidR="007C265C" w:rsidRPr="00E53E52">
        <w:t xml:space="preserve">gravity </w:t>
      </w:r>
      <w:r w:rsidR="006D6223" w:rsidRPr="00E53E52">
        <w:t xml:space="preserve">of domestic violence </w:t>
      </w:r>
      <w:r w:rsidR="007C265C" w:rsidRPr="00E53E52">
        <w:t xml:space="preserve">and its widespread occurrence </w:t>
      </w:r>
      <w:r w:rsidR="006D6223" w:rsidRPr="00E53E52">
        <w:t>have changed in the</w:t>
      </w:r>
      <w:r w:rsidR="007C265C" w:rsidRPr="00E53E52">
        <w:t xml:space="preserve"> 15 years between the two cases.</w:t>
      </w:r>
      <w:r w:rsidR="00810FDA" w:rsidRPr="00E53E52">
        <w:t xml:space="preserve"> </w:t>
      </w:r>
      <w:r w:rsidR="00DD64C0" w:rsidRPr="00E53E52">
        <w:t>During the same period, however,</w:t>
      </w:r>
      <w:r w:rsidR="007C265C" w:rsidRPr="00E53E52">
        <w:t xml:space="preserve"> the BIA has adopted </w:t>
      </w:r>
      <w:r w:rsidR="00EC125C" w:rsidRPr="00E53E52">
        <w:t xml:space="preserve">a more restrictive analysis of the </w:t>
      </w:r>
      <w:r w:rsidR="00C909C4" w:rsidRPr="00E53E52">
        <w:t>“</w:t>
      </w:r>
      <w:r w:rsidR="00EC125C" w:rsidRPr="00E53E52">
        <w:t>particular social group</w:t>
      </w:r>
      <w:r w:rsidR="00C909C4" w:rsidRPr="00E53E52">
        <w:t>”</w:t>
      </w:r>
      <w:r w:rsidR="00515AB2" w:rsidRPr="00E53E52">
        <w:t xml:space="preserve"> concept as shown in </w:t>
      </w:r>
      <w:r w:rsidR="00515AB2" w:rsidRPr="00E53E52">
        <w:rPr>
          <w:i/>
        </w:rPr>
        <w:t xml:space="preserve">Matter </w:t>
      </w:r>
      <w:r w:rsidR="00515AB2" w:rsidRPr="00E53E52">
        <w:rPr>
          <w:i/>
        </w:rPr>
        <w:lastRenderedPageBreak/>
        <w:t>of M-E-V-G-</w:t>
      </w:r>
      <w:r w:rsidR="00515AB2" w:rsidRPr="00E53E52">
        <w:t xml:space="preserve"> and </w:t>
      </w:r>
      <w:r w:rsidR="00515AB2" w:rsidRPr="00E53E52">
        <w:rPr>
          <w:i/>
        </w:rPr>
        <w:t>Matter of W-G-R-, supra</w:t>
      </w:r>
      <w:r w:rsidR="00515AB2" w:rsidRPr="00E53E52">
        <w:t xml:space="preserve">. </w:t>
      </w:r>
      <w:r w:rsidR="00EB379C" w:rsidRPr="00E53E52">
        <w:t xml:space="preserve">As you read the </w:t>
      </w:r>
      <w:r w:rsidR="009D6432" w:rsidRPr="00E53E52">
        <w:rPr>
          <w:i/>
        </w:rPr>
        <w:t>Matter of</w:t>
      </w:r>
      <w:r w:rsidR="009D6432" w:rsidRPr="00E53E52">
        <w:t xml:space="preserve"> </w:t>
      </w:r>
      <w:r w:rsidR="00EB379C" w:rsidRPr="00E53E52">
        <w:rPr>
          <w:i/>
        </w:rPr>
        <w:t>A-R-C-G-</w:t>
      </w:r>
      <w:r w:rsidR="00EB379C" w:rsidRPr="00E53E52">
        <w:t xml:space="preserve"> opinion, what </w:t>
      </w:r>
      <w:r w:rsidR="009D6432" w:rsidRPr="00E53E52">
        <w:t>factors do you think are most i</w:t>
      </w:r>
      <w:r w:rsidR="00875D06" w:rsidRPr="00E53E52">
        <w:t>mportant to the Board</w:t>
      </w:r>
      <w:r w:rsidR="00C909C4" w:rsidRPr="00E53E52">
        <w:t>’</w:t>
      </w:r>
      <w:r w:rsidR="00875D06" w:rsidRPr="00E53E52">
        <w:t xml:space="preserve">s </w:t>
      </w:r>
      <w:r w:rsidR="009D6432" w:rsidRPr="00E53E52">
        <w:t>holding?</w:t>
      </w:r>
      <w:r w:rsidR="00810FDA" w:rsidRPr="00E53E52">
        <w:t xml:space="preserve"> </w:t>
      </w:r>
    </w:p>
    <w:p w14:paraId="16539A46" w14:textId="2DA120B6" w:rsidR="009D26C5" w:rsidRPr="00E53E52" w:rsidRDefault="009D26C5" w:rsidP="001D1D6E">
      <w:pPr>
        <w:pStyle w:val="TextParagraph"/>
        <w:spacing w:after="120" w:line="276" w:lineRule="auto"/>
        <w:ind w:firstLine="720"/>
        <w:rPr>
          <w:spacing w:val="-2"/>
          <w:sz w:val="22"/>
          <w:szCs w:val="22"/>
        </w:rPr>
      </w:pPr>
      <w:r w:rsidRPr="00E53E52">
        <w:rPr>
          <w:spacing w:val="-2"/>
          <w:sz w:val="22"/>
          <w:szCs w:val="22"/>
        </w:rPr>
        <w:t xml:space="preserve">2. Some question whether asylum and withholding claims based on domestic violence are better understood as claims involving persecution on account of religion or political opinion, rather than on account of particular social group membership. </w:t>
      </w:r>
      <w:r w:rsidRPr="00E53E52">
        <w:rPr>
          <w:i/>
          <w:spacing w:val="-2"/>
          <w:sz w:val="22"/>
          <w:szCs w:val="22"/>
        </w:rPr>
        <w:t>See</w:t>
      </w:r>
      <w:r w:rsidRPr="00E53E52">
        <w:rPr>
          <w:spacing w:val="-2"/>
          <w:sz w:val="22"/>
          <w:szCs w:val="22"/>
        </w:rPr>
        <w:t xml:space="preserve"> Marisa Silenzi Cianciarulo, </w:t>
      </w:r>
      <w:r w:rsidRPr="00E53E52">
        <w:rPr>
          <w:i/>
          <w:spacing w:val="-2"/>
          <w:sz w:val="22"/>
          <w:szCs w:val="22"/>
        </w:rPr>
        <w:t>Batterers as Agents of the State: Challenging the Public/Private Distinction in Intimate Partner Violence-Based Asylum Claims</w:t>
      </w:r>
      <w:r w:rsidRPr="00E53E52">
        <w:rPr>
          <w:spacing w:val="-2"/>
          <w:sz w:val="22"/>
          <w:szCs w:val="22"/>
        </w:rPr>
        <w:t xml:space="preserve">, 35 Harv. J.L. &amp; Gender 117 (2012). For an analysis of domestic violence asylum cases before the immigration courts and the BIA for almost two decades, see Blaine Bookey, </w:t>
      </w:r>
      <w:r w:rsidRPr="00E53E52">
        <w:rPr>
          <w:i/>
          <w:spacing w:val="-2"/>
          <w:sz w:val="22"/>
          <w:szCs w:val="22"/>
        </w:rPr>
        <w:t>Domestic Violence as a Basis for Asylum: An Analysis of 206 Case Outcomes in the United States From 1994 to 2012</w:t>
      </w:r>
      <w:r w:rsidRPr="00E53E52">
        <w:rPr>
          <w:spacing w:val="-2"/>
          <w:sz w:val="22"/>
          <w:szCs w:val="22"/>
        </w:rPr>
        <w:t>, 24 Hastings Women</w:t>
      </w:r>
      <w:r w:rsidR="00C909C4" w:rsidRPr="00E53E52">
        <w:rPr>
          <w:spacing w:val="-2"/>
          <w:sz w:val="22"/>
          <w:szCs w:val="22"/>
        </w:rPr>
        <w:t>’</w:t>
      </w:r>
      <w:r w:rsidRPr="00E53E52">
        <w:rPr>
          <w:spacing w:val="-2"/>
          <w:sz w:val="22"/>
          <w:szCs w:val="22"/>
        </w:rPr>
        <w:t xml:space="preserve">s L.F. 107 (2013) (arguing that the analyzed cases reached </w:t>
      </w:r>
      <w:r w:rsidR="00C909C4" w:rsidRPr="00E53E52">
        <w:rPr>
          <w:spacing w:val="-2"/>
          <w:sz w:val="22"/>
          <w:szCs w:val="22"/>
        </w:rPr>
        <w:t>“</w:t>
      </w:r>
      <w:r w:rsidRPr="00E53E52">
        <w:rPr>
          <w:spacing w:val="-2"/>
          <w:sz w:val="22"/>
          <w:szCs w:val="22"/>
        </w:rPr>
        <w:t>contradictory and arbitrary outcomes</w:t>
      </w:r>
      <w:r w:rsidR="00C909C4" w:rsidRPr="00E53E52">
        <w:rPr>
          <w:spacing w:val="-2"/>
          <w:sz w:val="22"/>
          <w:szCs w:val="22"/>
        </w:rPr>
        <w:t>”</w:t>
      </w:r>
      <w:r w:rsidRPr="00E53E52">
        <w:rPr>
          <w:spacing w:val="-2"/>
          <w:sz w:val="22"/>
          <w:szCs w:val="22"/>
        </w:rPr>
        <w:t xml:space="preserve"> and that </w:t>
      </w:r>
      <w:r w:rsidR="00C909C4" w:rsidRPr="00E53E52">
        <w:rPr>
          <w:spacing w:val="-2"/>
          <w:sz w:val="22"/>
          <w:szCs w:val="22"/>
        </w:rPr>
        <w:t>“</w:t>
      </w:r>
      <w:r w:rsidRPr="00E53E52">
        <w:rPr>
          <w:spacing w:val="-2"/>
          <w:sz w:val="22"/>
          <w:szCs w:val="22"/>
        </w:rPr>
        <w:t>the absence of binding norms remains a major impediment to fair and consistent outcomes</w:t>
      </w:r>
      <w:r w:rsidR="00C909C4" w:rsidRPr="00E53E52">
        <w:rPr>
          <w:spacing w:val="-2"/>
          <w:sz w:val="22"/>
          <w:szCs w:val="22"/>
        </w:rPr>
        <w:t>”</w:t>
      </w:r>
      <w:r w:rsidRPr="00E53E52">
        <w:rPr>
          <w:spacing w:val="-2"/>
          <w:sz w:val="22"/>
          <w:szCs w:val="22"/>
        </w:rPr>
        <w:t>).</w:t>
      </w:r>
    </w:p>
    <w:p w14:paraId="0D3F6B5B" w14:textId="77777777" w:rsidR="009D26C5" w:rsidRPr="00E53E52" w:rsidRDefault="009D26C5" w:rsidP="001D1D6E">
      <w:pPr>
        <w:pStyle w:val="TextParagraph"/>
        <w:spacing w:after="120" w:line="276" w:lineRule="auto"/>
        <w:ind w:firstLine="0"/>
        <w:rPr>
          <w:b/>
          <w:bCs/>
          <w:smallCaps/>
          <w:sz w:val="22"/>
          <w:szCs w:val="22"/>
        </w:rPr>
      </w:pPr>
      <w:r w:rsidRPr="00E53E52">
        <w:rPr>
          <w:b/>
          <w:spacing w:val="-2"/>
          <w:sz w:val="22"/>
          <w:szCs w:val="22"/>
        </w:rPr>
        <w:t xml:space="preserve">pp. </w:t>
      </w:r>
      <w:r w:rsidR="00D23C0B" w:rsidRPr="00E53E52">
        <w:rPr>
          <w:b/>
          <w:spacing w:val="-2"/>
          <w:sz w:val="22"/>
          <w:szCs w:val="22"/>
        </w:rPr>
        <w:t>440-442, renumber current Notes 1</w:t>
      </w:r>
      <w:r w:rsidR="007E0145" w:rsidRPr="00E53E52">
        <w:rPr>
          <w:b/>
          <w:spacing w:val="-2"/>
          <w:sz w:val="22"/>
          <w:szCs w:val="22"/>
        </w:rPr>
        <w:t xml:space="preserve"> </w:t>
      </w:r>
      <w:r w:rsidR="00D23C0B" w:rsidRPr="00E53E52">
        <w:rPr>
          <w:b/>
          <w:spacing w:val="-2"/>
          <w:sz w:val="22"/>
          <w:szCs w:val="22"/>
        </w:rPr>
        <w:t>-</w:t>
      </w:r>
      <w:r w:rsidR="007E0145" w:rsidRPr="00E53E52">
        <w:rPr>
          <w:b/>
          <w:spacing w:val="-2"/>
          <w:sz w:val="22"/>
          <w:szCs w:val="22"/>
        </w:rPr>
        <w:t xml:space="preserve"> </w:t>
      </w:r>
      <w:r w:rsidR="00D23C0B" w:rsidRPr="00E53E52">
        <w:rPr>
          <w:b/>
          <w:spacing w:val="-2"/>
          <w:sz w:val="22"/>
          <w:szCs w:val="22"/>
        </w:rPr>
        <w:t>5 as Notes 3</w:t>
      </w:r>
      <w:r w:rsidR="007E0145" w:rsidRPr="00E53E52">
        <w:rPr>
          <w:b/>
          <w:spacing w:val="-2"/>
          <w:sz w:val="22"/>
          <w:szCs w:val="22"/>
        </w:rPr>
        <w:t xml:space="preserve"> </w:t>
      </w:r>
      <w:r w:rsidR="00D23C0B" w:rsidRPr="00E53E52">
        <w:rPr>
          <w:b/>
          <w:spacing w:val="-2"/>
          <w:sz w:val="22"/>
          <w:szCs w:val="22"/>
        </w:rPr>
        <w:t>-</w:t>
      </w:r>
      <w:r w:rsidR="007E0145" w:rsidRPr="00E53E52">
        <w:rPr>
          <w:b/>
          <w:spacing w:val="-2"/>
          <w:sz w:val="22"/>
          <w:szCs w:val="22"/>
        </w:rPr>
        <w:t xml:space="preserve"> </w:t>
      </w:r>
      <w:r w:rsidR="00D23C0B" w:rsidRPr="00E53E52">
        <w:rPr>
          <w:b/>
          <w:spacing w:val="-2"/>
          <w:sz w:val="22"/>
          <w:szCs w:val="22"/>
        </w:rPr>
        <w:t>7 and delete current Note 6.</w:t>
      </w:r>
    </w:p>
    <w:p w14:paraId="6B3D43CD" w14:textId="69B70C26" w:rsidR="00635EA9" w:rsidRPr="00E53E52" w:rsidRDefault="00833A14" w:rsidP="00635EA9">
      <w:pPr>
        <w:spacing w:after="120"/>
        <w:jc w:val="both"/>
        <w:rPr>
          <w:rFonts w:ascii="Century Schoolbook" w:hAnsi="Century Schoolbook" w:cs="Times New Roman"/>
          <w:b/>
        </w:rPr>
      </w:pPr>
      <w:r w:rsidRPr="00E53E52">
        <w:rPr>
          <w:rFonts w:ascii="Century Schoolbook" w:hAnsi="Century Schoolbook"/>
          <w:b/>
        </w:rPr>
        <w:t xml:space="preserve">p. 442: this is Option 2 for covering </w:t>
      </w:r>
      <w:r w:rsidRPr="00E53E52">
        <w:rPr>
          <w:rFonts w:ascii="Century Schoolbook" w:hAnsi="Century Schoolbook" w:cs="Times New Roman"/>
          <w:b/>
          <w:i/>
        </w:rPr>
        <w:t>Matter of A-B-</w:t>
      </w:r>
      <w:r w:rsidRPr="00E53E52">
        <w:rPr>
          <w:rFonts w:ascii="Century Schoolbook" w:hAnsi="Century Schoolbook" w:cs="Times New Roman"/>
          <w:b/>
        </w:rPr>
        <w:t>;</w:t>
      </w:r>
      <w:r w:rsidRPr="00E53E52">
        <w:rPr>
          <w:rFonts w:ascii="Century Schoolbook" w:hAnsi="Century Schoolbook" w:cs="Times New Roman"/>
          <w:b/>
          <w:i/>
        </w:rPr>
        <w:t xml:space="preserve"> </w:t>
      </w:r>
      <w:r w:rsidR="00635EA9" w:rsidRPr="00E53E52">
        <w:rPr>
          <w:rFonts w:ascii="Century Schoolbook" w:hAnsi="Century Schoolbook"/>
          <w:b/>
        </w:rPr>
        <w:t xml:space="preserve">after new note </w:t>
      </w:r>
      <w:r w:rsidRPr="00E53E52">
        <w:rPr>
          <w:rFonts w:ascii="Century Schoolbook" w:hAnsi="Century Schoolbook"/>
          <w:b/>
        </w:rPr>
        <w:t>7</w:t>
      </w:r>
      <w:r w:rsidR="00635EA9" w:rsidRPr="00E53E52">
        <w:rPr>
          <w:rFonts w:ascii="Century Schoolbook" w:hAnsi="Century Schoolbook"/>
          <w:b/>
        </w:rPr>
        <w:t xml:space="preserve">, add </w:t>
      </w:r>
      <w:r w:rsidR="00635EA9" w:rsidRPr="00E53E52">
        <w:rPr>
          <w:rFonts w:ascii="Century Schoolbook" w:hAnsi="Century Schoolbook" w:cs="Times New Roman"/>
          <w:b/>
          <w:i/>
        </w:rPr>
        <w:t>Matter of A-B-</w:t>
      </w:r>
      <w:r w:rsidR="00635EA9" w:rsidRPr="00E53E52">
        <w:rPr>
          <w:rFonts w:ascii="Century Schoolbook" w:hAnsi="Century Schoolbook" w:cs="Times New Roman"/>
          <w:b/>
        </w:rPr>
        <w:t xml:space="preserve"> as a new case</w:t>
      </w:r>
      <w:r w:rsidR="00635EA9" w:rsidRPr="00E53E52">
        <w:rPr>
          <w:rStyle w:val="FootnoteReference"/>
          <w:rFonts w:ascii="Century Schoolbook" w:hAnsi="Century Schoolbook" w:cs="Times New Roman"/>
          <w:b/>
        </w:rPr>
        <w:footnoteReference w:customMarkFollows="1" w:id="14"/>
        <w:t xml:space="preserve">* </w:t>
      </w:r>
      <w:r w:rsidR="00635EA9" w:rsidRPr="00E53E52">
        <w:rPr>
          <w:rFonts w:ascii="Century Schoolbook" w:hAnsi="Century Schoolbook" w:cs="Times New Roman"/>
          <w:b/>
        </w:rPr>
        <w:t xml:space="preserve">with Notes and Questions following: </w:t>
      </w:r>
    </w:p>
    <w:p w14:paraId="7C6D8254" w14:textId="1D8E8A59" w:rsidR="00833A14" w:rsidRPr="00E53E52" w:rsidRDefault="00833A14" w:rsidP="00833A14">
      <w:pPr>
        <w:spacing w:after="120"/>
        <w:jc w:val="center"/>
        <w:rPr>
          <w:rFonts w:ascii="Century Schoolbook" w:hAnsi="Century Schoolbook"/>
          <w:b/>
        </w:rPr>
      </w:pPr>
      <w:r w:rsidRPr="00E53E52">
        <w:rPr>
          <w:rFonts w:ascii="Century Schoolbook" w:hAnsi="Century Schoolbook"/>
          <w:b/>
        </w:rPr>
        <w:t xml:space="preserve">[add from materials </w:t>
      </w:r>
      <w:r w:rsidR="00261DF0" w:rsidRPr="00E53E52">
        <w:rPr>
          <w:rFonts w:ascii="Century Schoolbook" w:hAnsi="Century Schoolbook"/>
          <w:b/>
        </w:rPr>
        <w:t xml:space="preserve">in this Update </w:t>
      </w:r>
      <w:r w:rsidRPr="00E53E52">
        <w:rPr>
          <w:rFonts w:ascii="Century Schoolbook" w:hAnsi="Century Schoolbook"/>
          <w:b/>
        </w:rPr>
        <w:t xml:space="preserve">for casebook page 375] </w:t>
      </w:r>
    </w:p>
    <w:p w14:paraId="24E187CB" w14:textId="77777777" w:rsidR="00D17426" w:rsidRPr="00E53E52" w:rsidRDefault="001F28E6" w:rsidP="001D1D6E">
      <w:pPr>
        <w:keepNext/>
        <w:spacing w:after="120"/>
        <w:jc w:val="both"/>
        <w:rPr>
          <w:rFonts w:ascii="Century Schoolbook" w:hAnsi="Century Schoolbook"/>
          <w:b/>
          <w:spacing w:val="-2"/>
        </w:rPr>
      </w:pPr>
      <w:r w:rsidRPr="00E53E52">
        <w:rPr>
          <w:rFonts w:ascii="Century Schoolbook" w:hAnsi="Century Schoolbook"/>
          <w:b/>
          <w:spacing w:val="-2"/>
        </w:rPr>
        <w:t xml:space="preserve">p. 458, </w:t>
      </w:r>
      <w:r w:rsidR="00D17426" w:rsidRPr="00E53E52">
        <w:rPr>
          <w:rFonts w:ascii="Century Schoolbook" w:hAnsi="Century Schoolbook"/>
          <w:b/>
          <w:spacing w:val="-2"/>
        </w:rPr>
        <w:t>at end of carryover paragraph, add:</w:t>
      </w:r>
    </w:p>
    <w:p w14:paraId="70165BC7" w14:textId="6633847E" w:rsidR="00840582" w:rsidRPr="00E53E52" w:rsidRDefault="00FF1157" w:rsidP="001D1D6E">
      <w:pPr>
        <w:spacing w:after="120"/>
        <w:jc w:val="both"/>
        <w:rPr>
          <w:rFonts w:ascii="Century Schoolbook" w:hAnsi="Century Schoolbook"/>
        </w:rPr>
      </w:pPr>
      <w:r w:rsidRPr="00E53E52">
        <w:rPr>
          <w:rFonts w:ascii="Century Schoolbook" w:hAnsi="Century Schoolbook"/>
        </w:rPr>
        <w:t>Asylum applications</w:t>
      </w:r>
      <w:r w:rsidR="00840582" w:rsidRPr="00E53E52">
        <w:rPr>
          <w:rFonts w:ascii="Century Schoolbook" w:hAnsi="Century Schoolbook"/>
        </w:rPr>
        <w:t xml:space="preserve"> based on abuse by family members and neighbors of young b</w:t>
      </w:r>
      <w:r w:rsidR="005B65BC" w:rsidRPr="00E53E52">
        <w:rPr>
          <w:rFonts w:ascii="Century Schoolbook" w:hAnsi="Century Schoolbook"/>
        </w:rPr>
        <w:t>oys perceived as effeminate</w:t>
      </w:r>
      <w:r w:rsidR="00840582" w:rsidRPr="00E53E52">
        <w:rPr>
          <w:rFonts w:ascii="Century Schoolbook" w:hAnsi="Century Schoolbook"/>
        </w:rPr>
        <w:t xml:space="preserve"> </w:t>
      </w:r>
      <w:r w:rsidR="002C0410" w:rsidRPr="00E53E52">
        <w:rPr>
          <w:rFonts w:ascii="Century Schoolbook" w:hAnsi="Century Schoolbook"/>
        </w:rPr>
        <w:t xml:space="preserve">have </w:t>
      </w:r>
      <w:r w:rsidRPr="00E53E52">
        <w:rPr>
          <w:rFonts w:ascii="Century Schoolbook" w:hAnsi="Century Schoolbook"/>
        </w:rPr>
        <w:t>asserted that the family constitutes a particular social group</w:t>
      </w:r>
      <w:r w:rsidR="00522876" w:rsidRPr="00E53E52">
        <w:rPr>
          <w:rFonts w:ascii="Century Schoolbook" w:hAnsi="Century Schoolbook"/>
        </w:rPr>
        <w:t xml:space="preserve">, as well as alleged that </w:t>
      </w:r>
      <w:r w:rsidR="004A2A32" w:rsidRPr="00E53E52">
        <w:rPr>
          <w:rFonts w:ascii="Century Schoolbook" w:hAnsi="Century Schoolbook"/>
        </w:rPr>
        <w:t xml:space="preserve">government officials are culpable for failing to protect vulnerable </w:t>
      </w:r>
      <w:r w:rsidR="00E947D3" w:rsidRPr="00E53E52">
        <w:rPr>
          <w:rFonts w:ascii="Century Schoolbook" w:hAnsi="Century Schoolbook"/>
        </w:rPr>
        <w:t>children</w:t>
      </w:r>
      <w:r w:rsidR="00840582" w:rsidRPr="00E53E52">
        <w:rPr>
          <w:rFonts w:ascii="Century Schoolbook" w:hAnsi="Century Schoolbook"/>
        </w:rPr>
        <w:t>.</w:t>
      </w:r>
      <w:r w:rsidR="00810FDA" w:rsidRPr="00E53E52">
        <w:rPr>
          <w:rFonts w:ascii="Century Schoolbook" w:hAnsi="Century Schoolbook"/>
        </w:rPr>
        <w:t xml:space="preserve"> </w:t>
      </w:r>
      <w:r w:rsidR="00840582" w:rsidRPr="00E53E52">
        <w:rPr>
          <w:rFonts w:ascii="Century Schoolbook" w:hAnsi="Century Schoolbook"/>
          <w:i/>
        </w:rPr>
        <w:t>See Bringas-Rodriguez v. Sessions</w:t>
      </w:r>
      <w:r w:rsidR="00840582" w:rsidRPr="00E53E52">
        <w:rPr>
          <w:rFonts w:ascii="Century Schoolbook" w:hAnsi="Century Schoolbook"/>
        </w:rPr>
        <w:t>, 850 F. 3d</w:t>
      </w:r>
      <w:r w:rsidR="00810FDA" w:rsidRPr="00E53E52">
        <w:rPr>
          <w:rFonts w:ascii="Century Schoolbook" w:hAnsi="Century Schoolbook"/>
        </w:rPr>
        <w:t xml:space="preserve"> </w:t>
      </w:r>
      <w:r w:rsidR="00840582" w:rsidRPr="00E53E52">
        <w:rPr>
          <w:rFonts w:ascii="Century Schoolbook" w:hAnsi="Century Schoolbook"/>
        </w:rPr>
        <w:t xml:space="preserve">1051 (9th Cir. en banc 2017) (failure of young child to report sexual abuse </w:t>
      </w:r>
      <w:r w:rsidR="00522876" w:rsidRPr="00E53E52">
        <w:rPr>
          <w:rFonts w:ascii="Century Schoolbook" w:hAnsi="Century Schoolbook"/>
        </w:rPr>
        <w:t xml:space="preserve">by family members </w:t>
      </w:r>
      <w:r w:rsidR="00840582" w:rsidRPr="00E53E52">
        <w:rPr>
          <w:rFonts w:ascii="Century Schoolbook" w:hAnsi="Century Schoolbook"/>
        </w:rPr>
        <w:t>to Mexican police does not preclude finding of past persecution).</w:t>
      </w:r>
    </w:p>
    <w:p w14:paraId="66677848" w14:textId="2D9A541B" w:rsidR="00C05FDF" w:rsidRPr="00E53E52" w:rsidRDefault="00DC4871" w:rsidP="00C05FDF">
      <w:pPr>
        <w:spacing w:after="120"/>
        <w:ind w:firstLine="720"/>
        <w:jc w:val="both"/>
        <w:rPr>
          <w:rFonts w:ascii="Century Schoolbook" w:hAnsi="Century Schoolbook"/>
        </w:rPr>
      </w:pPr>
      <w:r w:rsidRPr="00E53E52">
        <w:rPr>
          <w:rFonts w:ascii="Century Schoolbook" w:hAnsi="Century Schoolbook"/>
          <w:caps/>
        </w:rPr>
        <w:br w:type="page"/>
      </w:r>
      <w:r w:rsidR="00C05FDF" w:rsidRPr="00E53E52">
        <w:rPr>
          <w:rFonts w:ascii="Century Schoolbook" w:hAnsi="Century Schoolbook"/>
        </w:rPr>
        <w:lastRenderedPageBreak/>
        <w:t xml:space="preserve">The Attorney General’s 2018 decision in </w:t>
      </w:r>
      <w:r w:rsidR="00C05FDF" w:rsidRPr="00E53E52">
        <w:rPr>
          <w:rFonts w:ascii="Century Schoolbook" w:hAnsi="Century Schoolbook"/>
          <w:i/>
        </w:rPr>
        <w:t>Matter of A-B-</w:t>
      </w:r>
      <w:r w:rsidR="00C05FDF" w:rsidRPr="00E53E52">
        <w:rPr>
          <w:rFonts w:ascii="Century Schoolbook" w:hAnsi="Century Schoolbook"/>
        </w:rPr>
        <w:t>, 27 I &amp; N Dec. 316 (</w:t>
      </w:r>
      <w:r w:rsidR="00C05FDF" w:rsidRPr="00E53E52">
        <w:rPr>
          <w:rFonts w:ascii="Century Schoolbook" w:hAnsi="Century Schoolbook" w:cs="Times New Roman"/>
        </w:rPr>
        <w:t xml:space="preserve">AG </w:t>
      </w:r>
      <w:r w:rsidR="00C05FDF" w:rsidRPr="00E53E52">
        <w:rPr>
          <w:rFonts w:ascii="Century Schoolbook" w:hAnsi="Century Schoolbook"/>
        </w:rPr>
        <w:t xml:space="preserve">2018), </w:t>
      </w:r>
      <w:r w:rsidR="00C30069" w:rsidRPr="00E53E52">
        <w:rPr>
          <w:rFonts w:ascii="Century Schoolbook" w:hAnsi="Century Schoolbook"/>
        </w:rPr>
        <w:t xml:space="preserve">iook </w:t>
      </w:r>
      <w:r w:rsidR="00C05FDF" w:rsidRPr="00E53E52">
        <w:rPr>
          <w:rFonts w:ascii="Century Schoolbook" w:hAnsi="Century Schoolbook"/>
        </w:rPr>
        <w:t>a more restrictive view of persecution by nongovernmental actors as part of an asylum claim.</w:t>
      </w:r>
    </w:p>
    <w:p w14:paraId="55064C16" w14:textId="7B23444B" w:rsidR="00DC4871" w:rsidRPr="00E53E52" w:rsidRDefault="00DC4871" w:rsidP="001D1D6E">
      <w:pPr>
        <w:spacing w:after="120"/>
        <w:jc w:val="both"/>
        <w:rPr>
          <w:rFonts w:ascii="Century Schoolbook" w:hAnsi="Century Schoolbook"/>
          <w:caps/>
        </w:rPr>
      </w:pPr>
    </w:p>
    <w:p w14:paraId="6DA1D383" w14:textId="77777777" w:rsidR="003F248C" w:rsidRPr="00E53E52" w:rsidRDefault="003F248C" w:rsidP="001D1D6E">
      <w:pPr>
        <w:spacing w:after="120"/>
        <w:jc w:val="center"/>
        <w:outlineLvl w:val="0"/>
        <w:rPr>
          <w:rFonts w:ascii="Century Schoolbook" w:hAnsi="Century Schoolbook"/>
          <w:b/>
          <w:caps/>
        </w:rPr>
      </w:pPr>
      <w:r w:rsidRPr="00E53E52">
        <w:rPr>
          <w:rFonts w:ascii="Century Schoolbook" w:hAnsi="Century Schoolbook"/>
          <w:b/>
          <w:caps/>
        </w:rPr>
        <w:t xml:space="preserve">chapter </w:t>
      </w:r>
      <w:r w:rsidR="00325552" w:rsidRPr="00E53E52">
        <w:rPr>
          <w:rFonts w:ascii="Century Schoolbook" w:hAnsi="Century Schoolbook"/>
          <w:b/>
          <w:caps/>
        </w:rPr>
        <w:t>SIX</w:t>
      </w:r>
    </w:p>
    <w:p w14:paraId="743C3B87" w14:textId="77777777" w:rsidR="00327861" w:rsidRPr="00E53E52" w:rsidRDefault="00325552" w:rsidP="001D1D6E">
      <w:pPr>
        <w:spacing w:after="120"/>
        <w:jc w:val="center"/>
        <w:rPr>
          <w:rFonts w:ascii="Century Schoolbook" w:hAnsi="Century Schoolbook"/>
          <w:b/>
          <w:caps/>
        </w:rPr>
      </w:pPr>
      <w:r w:rsidRPr="00E53E52">
        <w:rPr>
          <w:rFonts w:ascii="Century Schoolbook" w:hAnsi="Century Schoolbook"/>
          <w:b/>
          <w:caps/>
        </w:rPr>
        <w:t>LIMITATIONS ON PROTECTION: EXCLUSION AND CESSATION</w:t>
      </w:r>
    </w:p>
    <w:p w14:paraId="22B31C6E" w14:textId="77777777" w:rsidR="0026069C" w:rsidRPr="00E53E52" w:rsidRDefault="0026069C" w:rsidP="0036367F">
      <w:pPr>
        <w:keepNext/>
        <w:spacing w:after="120"/>
        <w:rPr>
          <w:rFonts w:ascii="Century Schoolbook" w:hAnsi="Century Schoolbook" w:cs="Times New Roman"/>
          <w:b/>
        </w:rPr>
      </w:pPr>
      <w:r w:rsidRPr="00E53E52">
        <w:rPr>
          <w:rFonts w:ascii="Century Schoolbook" w:hAnsi="Century Schoolbook" w:cs="Times New Roman"/>
          <w:b/>
        </w:rPr>
        <w:t>p. 468, a</w:t>
      </w:r>
      <w:r w:rsidR="00245C14" w:rsidRPr="00E53E52">
        <w:rPr>
          <w:rFonts w:ascii="Century Schoolbook" w:hAnsi="Century Schoolbook" w:cs="Times New Roman"/>
          <w:b/>
        </w:rPr>
        <w:t>t</w:t>
      </w:r>
      <w:r w:rsidRPr="00E53E52">
        <w:rPr>
          <w:rFonts w:ascii="Century Schoolbook" w:hAnsi="Century Schoolbook" w:cs="Times New Roman"/>
          <w:b/>
        </w:rPr>
        <w:t xml:space="preserve"> end of first full paragraph</w:t>
      </w:r>
      <w:r w:rsidR="00245C14" w:rsidRPr="00E53E52">
        <w:rPr>
          <w:rFonts w:ascii="Century Schoolbook" w:hAnsi="Century Schoolbook" w:cs="Times New Roman"/>
          <w:b/>
        </w:rPr>
        <w:t>, add</w:t>
      </w:r>
      <w:r w:rsidRPr="00E53E52">
        <w:rPr>
          <w:rFonts w:ascii="Century Schoolbook" w:hAnsi="Century Schoolbook" w:cs="Times New Roman"/>
          <w:b/>
        </w:rPr>
        <w:t>:</w:t>
      </w:r>
    </w:p>
    <w:p w14:paraId="4C567F54" w14:textId="2CA44059" w:rsidR="0026069C" w:rsidRPr="00E53E52" w:rsidRDefault="0026069C" w:rsidP="001D1D6E">
      <w:pPr>
        <w:spacing w:after="120"/>
        <w:ind w:firstLine="720"/>
        <w:jc w:val="both"/>
        <w:rPr>
          <w:rFonts w:ascii="Century Schoolbook" w:hAnsi="Century Schoolbook"/>
        </w:rPr>
      </w:pPr>
      <w:r w:rsidRPr="00E53E52">
        <w:rPr>
          <w:rFonts w:ascii="Century Schoolbook" w:hAnsi="Century Schoolbook"/>
        </w:rPr>
        <w:t xml:space="preserve">S. 744, the immigration reform bill passed by the Senate in June 2013, </w:t>
      </w:r>
      <w:r w:rsidR="00AB3C0C" w:rsidRPr="00E53E52">
        <w:rPr>
          <w:rFonts w:ascii="Century Schoolbook" w:hAnsi="Century Schoolbook"/>
        </w:rPr>
        <w:t>included</w:t>
      </w:r>
      <w:r w:rsidRPr="00E53E52">
        <w:rPr>
          <w:rFonts w:ascii="Century Schoolbook" w:hAnsi="Century Schoolbook"/>
        </w:rPr>
        <w:t xml:space="preserve"> a provision repealing the one–year filing deadline</w:t>
      </w:r>
      <w:r w:rsidR="00027B0C" w:rsidRPr="00E53E52">
        <w:rPr>
          <w:rFonts w:ascii="Century Schoolbook" w:hAnsi="Century Schoolbook"/>
        </w:rPr>
        <w:t xml:space="preserve">. </w:t>
      </w:r>
      <w:r w:rsidRPr="00E53E52">
        <w:rPr>
          <w:rFonts w:ascii="Century Schoolbook" w:hAnsi="Century Schoolbook"/>
        </w:rPr>
        <w:t xml:space="preserve">The House of Representatives has not acted on S. 744 (or on any immigration reform proposals). </w:t>
      </w:r>
    </w:p>
    <w:p w14:paraId="2D5F8B6A" w14:textId="68920C47" w:rsidR="00FD08B3" w:rsidRPr="00E53E52" w:rsidRDefault="00FD08B3" w:rsidP="0036367F">
      <w:pPr>
        <w:keepNext/>
        <w:spacing w:after="120"/>
        <w:rPr>
          <w:rFonts w:ascii="Century Schoolbook" w:hAnsi="Century Schoolbook" w:cs="Times New Roman"/>
          <w:b/>
        </w:rPr>
      </w:pPr>
      <w:r w:rsidRPr="00E53E52">
        <w:rPr>
          <w:rFonts w:ascii="Century Schoolbook" w:hAnsi="Century Schoolbook" w:cs="Times New Roman"/>
          <w:b/>
        </w:rPr>
        <w:t xml:space="preserve">p. </w:t>
      </w:r>
      <w:r w:rsidR="00CF21D0" w:rsidRPr="00E53E52">
        <w:rPr>
          <w:rFonts w:ascii="Century Schoolbook" w:hAnsi="Century Schoolbook" w:cs="Times New Roman"/>
          <w:b/>
        </w:rPr>
        <w:t>472</w:t>
      </w:r>
      <w:r w:rsidR="001F4F92" w:rsidRPr="00E53E52">
        <w:rPr>
          <w:rFonts w:ascii="Century Schoolbook" w:hAnsi="Century Schoolbook" w:cs="Times New Roman"/>
          <w:b/>
        </w:rPr>
        <w:t>,</w:t>
      </w:r>
      <w:r w:rsidR="00CF21D0" w:rsidRPr="00E53E52">
        <w:rPr>
          <w:rFonts w:ascii="Century Schoolbook" w:hAnsi="Century Schoolbook" w:cs="Times New Roman"/>
          <w:b/>
        </w:rPr>
        <w:t xml:space="preserve"> Note 3, line 2, after</w:t>
      </w:r>
      <w:r w:rsidR="00C862DB" w:rsidRPr="00E53E52">
        <w:rPr>
          <w:rFonts w:ascii="Century Schoolbook" w:hAnsi="Century Schoolbook" w:cs="Times New Roman"/>
          <w:b/>
        </w:rPr>
        <w:t xml:space="preserve"> 1</w:t>
      </w:r>
      <w:r w:rsidR="00C862DB" w:rsidRPr="00E53E52">
        <w:rPr>
          <w:rFonts w:ascii="Century Schoolbook" w:hAnsi="Century Schoolbook" w:cs="Times New Roman"/>
          <w:b/>
          <w:vertAlign w:val="superscript"/>
        </w:rPr>
        <w:t>st</w:t>
      </w:r>
      <w:r w:rsidR="00C862DB" w:rsidRPr="00E53E52">
        <w:rPr>
          <w:rFonts w:ascii="Century Schoolbook" w:hAnsi="Century Schoolbook" w:cs="Times New Roman"/>
          <w:b/>
        </w:rPr>
        <w:t xml:space="preserve"> sentence</w:t>
      </w:r>
      <w:r w:rsidR="001F4F92" w:rsidRPr="00E53E52">
        <w:rPr>
          <w:rFonts w:ascii="Century Schoolbook" w:hAnsi="Century Schoolbook" w:cs="Times New Roman"/>
          <w:b/>
        </w:rPr>
        <w:t xml:space="preserve"> </w:t>
      </w:r>
      <w:r w:rsidR="00C862DB" w:rsidRPr="00E53E52">
        <w:rPr>
          <w:rFonts w:ascii="Century Schoolbook" w:hAnsi="Century Schoolbook" w:cs="Times New Roman"/>
          <w:b/>
        </w:rPr>
        <w:t xml:space="preserve">replace </w:t>
      </w:r>
      <w:r w:rsidR="00C909C4" w:rsidRPr="00E53E52">
        <w:rPr>
          <w:rFonts w:ascii="Century Schoolbook" w:hAnsi="Century Schoolbook" w:cs="Times New Roman"/>
          <w:b/>
        </w:rPr>
        <w:t>“</w:t>
      </w:r>
      <w:r w:rsidR="00C862DB" w:rsidRPr="00E53E52">
        <w:rPr>
          <w:rFonts w:ascii="Century Schoolbook" w:hAnsi="Century Schoolbook" w:cs="Times New Roman"/>
          <w:b/>
          <w:i/>
        </w:rPr>
        <w:t>See</w:t>
      </w:r>
      <w:r w:rsidR="00C909C4" w:rsidRPr="00E53E52">
        <w:rPr>
          <w:rFonts w:ascii="Century Schoolbook" w:hAnsi="Century Schoolbook" w:cs="Times New Roman"/>
          <w:b/>
        </w:rPr>
        <w:t>”</w:t>
      </w:r>
      <w:r w:rsidR="00C862DB" w:rsidRPr="00E53E52">
        <w:rPr>
          <w:rFonts w:ascii="Century Schoolbook" w:hAnsi="Century Schoolbook" w:cs="Times New Roman"/>
          <w:b/>
          <w:i/>
        </w:rPr>
        <w:t xml:space="preserve"> </w:t>
      </w:r>
      <w:r w:rsidR="00C862DB" w:rsidRPr="00E53E52">
        <w:rPr>
          <w:rFonts w:ascii="Century Schoolbook" w:hAnsi="Century Schoolbook" w:cs="Times New Roman"/>
          <w:b/>
        </w:rPr>
        <w:t>with</w:t>
      </w:r>
      <w:r w:rsidRPr="00E53E52">
        <w:rPr>
          <w:rFonts w:ascii="Century Schoolbook" w:hAnsi="Century Schoolbook" w:cs="Times New Roman"/>
          <w:b/>
        </w:rPr>
        <w:t>:</w:t>
      </w:r>
      <w:r w:rsidR="00810FDA" w:rsidRPr="00E53E52">
        <w:rPr>
          <w:rFonts w:ascii="Century Schoolbook" w:hAnsi="Century Schoolbook" w:cs="Times New Roman"/>
          <w:b/>
        </w:rPr>
        <w:t xml:space="preserve"> </w:t>
      </w:r>
    </w:p>
    <w:p w14:paraId="01EDBE88" w14:textId="6B997CAD" w:rsidR="00DD24FF" w:rsidRPr="00E53E52" w:rsidRDefault="00C862DB" w:rsidP="001D1D6E">
      <w:pPr>
        <w:spacing w:after="120"/>
        <w:ind w:firstLine="720"/>
        <w:jc w:val="both"/>
        <w:rPr>
          <w:rFonts w:ascii="Century Schoolbook" w:hAnsi="Century Schoolbook" w:cs="Times New Roman"/>
        </w:rPr>
      </w:pPr>
      <w:r w:rsidRPr="00E53E52">
        <w:rPr>
          <w:rFonts w:ascii="Century Schoolbook" w:hAnsi="Century Schoolbook" w:cs="Times New Roman"/>
        </w:rPr>
        <w:t xml:space="preserve">For an extensive analysis of current strategies employed by Canadian authorities concerning asylum seekers at the U.S.-Canada border, see Efrat Arbel, Alletta Brenner, &amp; Harvard Immigration and Refugee Law Clinic Program, </w:t>
      </w:r>
      <w:r w:rsidRPr="00E53E52">
        <w:rPr>
          <w:rFonts w:ascii="Century Schoolbook" w:hAnsi="Century Schoolbook" w:cs="Times New Roman"/>
          <w:i/>
        </w:rPr>
        <w:t>Bordering on Failure: Canada – U.S. Border Policy and the of Politics of Refugee Exclusion</w:t>
      </w:r>
      <w:r w:rsidRPr="00E53E52">
        <w:rPr>
          <w:rFonts w:ascii="Century Schoolbook" w:hAnsi="Century Schoolbook" w:cs="Times New Roman"/>
        </w:rPr>
        <w:t xml:space="preserve"> (November 2013), </w:t>
      </w:r>
      <w:hyperlink r:id="rId51" w:history="1">
        <w:r w:rsidRPr="00E53E52">
          <w:rPr>
            <w:rStyle w:val="Hyperlink"/>
            <w:rFonts w:eastAsiaTheme="minorHAnsi"/>
            <w:sz w:val="22"/>
            <w:szCs w:val="22"/>
          </w:rPr>
          <w:t>http://harvardimmigrationclinic.files.wordpress.com/2013/11/bordering-on-failure-harvard-immigration-and-refugee-law-clinical-program1.pdf</w:t>
        </w:r>
      </w:hyperlink>
      <w:r w:rsidR="00027B0C" w:rsidRPr="00E53E52">
        <w:rPr>
          <w:rFonts w:ascii="Century Schoolbook" w:hAnsi="Century Schoolbook" w:cs="Times New Roman"/>
        </w:rPr>
        <w:t xml:space="preserve">. </w:t>
      </w:r>
      <w:r w:rsidRPr="00E53E52">
        <w:rPr>
          <w:rFonts w:ascii="Century Schoolbook" w:hAnsi="Century Schoolbook" w:cs="Times New Roman"/>
        </w:rPr>
        <w:t xml:space="preserve">Additional commentary can be found </w:t>
      </w:r>
      <w:r w:rsidR="005A78AC" w:rsidRPr="00E53E52">
        <w:rPr>
          <w:rFonts w:ascii="Century Schoolbook" w:hAnsi="Century Schoolbook" w:cs="Times New Roman"/>
        </w:rPr>
        <w:t>in [</w:t>
      </w:r>
      <w:r w:rsidR="0026069C" w:rsidRPr="00E53E52">
        <w:rPr>
          <w:rFonts w:ascii="Century Schoolbook" w:hAnsi="Century Schoolbook" w:cs="Times New Roman"/>
        </w:rPr>
        <w:t>continue with current text in casebook]</w:t>
      </w:r>
    </w:p>
    <w:p w14:paraId="12C83358" w14:textId="77777777" w:rsidR="00145354" w:rsidRPr="00E53E52" w:rsidRDefault="00145354" w:rsidP="00145354">
      <w:pPr>
        <w:keepNext/>
        <w:spacing w:after="120"/>
        <w:rPr>
          <w:rFonts w:ascii="Century Schoolbook" w:hAnsi="Century Schoolbook" w:cs="Times New Roman"/>
          <w:b/>
        </w:rPr>
      </w:pPr>
      <w:r w:rsidRPr="00E53E52">
        <w:rPr>
          <w:rFonts w:ascii="Century Schoolbook" w:hAnsi="Century Schoolbook" w:cs="Times New Roman"/>
          <w:b/>
        </w:rPr>
        <w:t>page 493, add new Note 5:</w:t>
      </w:r>
    </w:p>
    <w:p w14:paraId="61EB2256" w14:textId="35DE8CD8" w:rsidR="00145354" w:rsidRPr="00E53E52" w:rsidRDefault="00877920" w:rsidP="00145354">
      <w:pPr>
        <w:spacing w:before="100" w:after="120"/>
        <w:ind w:firstLine="720"/>
        <w:jc w:val="both"/>
        <w:rPr>
          <w:rFonts w:ascii="Century Schoolbook" w:hAnsi="Century Schoolbook" w:cs="Times New Roman"/>
        </w:rPr>
      </w:pPr>
      <w:r w:rsidRPr="00E53E52">
        <w:rPr>
          <w:rFonts w:ascii="Century Schoolbook" w:hAnsi="Century Schoolbook" w:cs="Times New Roman"/>
        </w:rPr>
        <w:t>5. Without addressing duress, the BIA recently reiterated that the persecutor bar applies to a soldier who stood guard while superiors interrogated and mistreated a prisoner even though the soldier lacked a persecutory motive.</w:t>
      </w:r>
      <w:r w:rsidR="00810FDA" w:rsidRPr="00E53E52">
        <w:rPr>
          <w:rFonts w:ascii="Century Schoolbook" w:hAnsi="Century Schoolbook" w:cs="Times New Roman"/>
        </w:rPr>
        <w:t xml:space="preserve"> </w:t>
      </w:r>
      <w:r w:rsidRPr="00E53E52">
        <w:rPr>
          <w:rFonts w:ascii="Century Schoolbook" w:hAnsi="Century Schoolbook" w:cs="Times New Roman"/>
          <w:i/>
        </w:rPr>
        <w:t>Matter of J. M. Alvarado</w:t>
      </w:r>
      <w:r w:rsidRPr="00E53E52">
        <w:rPr>
          <w:rFonts w:ascii="Century Schoolbook" w:hAnsi="Century Schoolbook" w:cs="Times New Roman"/>
        </w:rPr>
        <w:t>, 27 I &amp; N Dec. 27 (BIA 2017).</w:t>
      </w:r>
      <w:r w:rsidR="00145354" w:rsidRPr="00E53E52">
        <w:rPr>
          <w:rFonts w:ascii="Century Schoolbook" w:hAnsi="Century Schoolbook" w:cs="Times New Roman"/>
        </w:rPr>
        <w:t xml:space="preserve"> Then, in June 2018, the BIA issued its decision on remand in </w:t>
      </w:r>
      <w:r w:rsidR="00145354" w:rsidRPr="00E53E52">
        <w:rPr>
          <w:rFonts w:ascii="Century Schoolbook" w:hAnsi="Century Schoolbook" w:cs="Times New Roman"/>
          <w:i/>
        </w:rPr>
        <w:t>Negusie</w:t>
      </w:r>
      <w:r w:rsidR="00145354" w:rsidRPr="00E53E52">
        <w:rPr>
          <w:rFonts w:ascii="Century Schoolbook" w:hAnsi="Century Schoolbook" w:cs="Times New Roman"/>
        </w:rPr>
        <w:t xml:space="preserve">. It held that the persecutor bar is subject to a duress defense, but that the defense is very limited, as follows: </w:t>
      </w:r>
    </w:p>
    <w:p w14:paraId="14913043" w14:textId="77777777" w:rsidR="00145354" w:rsidRPr="00E53E52" w:rsidRDefault="00145354" w:rsidP="00145354">
      <w:pPr>
        <w:spacing w:after="120"/>
        <w:ind w:left="432" w:right="432"/>
        <w:jc w:val="both"/>
        <w:rPr>
          <w:rFonts w:ascii="Century Schoolbook" w:hAnsi="Century Schoolbook" w:cs="Times New Roman"/>
        </w:rPr>
      </w:pPr>
      <w:r w:rsidRPr="00E53E52">
        <w:rPr>
          <w:rFonts w:ascii="Century Schoolbook" w:hAnsi="Century Schoolbook" w:cs="Times New Roman"/>
        </w:rPr>
        <w:t>at a minimum the applicant must establish by a preponderance of the evidence that he (1) acted under an imminent threat of death or serious bodily injury to himself or others; (2) reasonably believed that the threatened harm would be carried out unless he acted or refrained from acting; (3) had no reasonable opportunity to escape or otherwise frustrate the threat; (4) did not place himself in a situation in which he knew or reasonably should have known that he would likely be forced to act or refrain from acting; and (5) knew or reasonably should have known that the harm he inflicted was not greater than the threatened harm to himself or others. Only if the applicant establishes each element by a preponderance of the evidence would it be appropriate to consider whether the duress defense applies.</w:t>
      </w:r>
    </w:p>
    <w:p w14:paraId="20F526D9" w14:textId="612940B3" w:rsidR="00145354" w:rsidRPr="00E53E52" w:rsidRDefault="00145354" w:rsidP="00145354">
      <w:pPr>
        <w:spacing w:after="120"/>
        <w:jc w:val="both"/>
        <w:rPr>
          <w:rFonts w:ascii="Century Schoolbook" w:hAnsi="Century Schoolbook" w:cs="Times New Roman"/>
        </w:rPr>
      </w:pPr>
      <w:r w:rsidRPr="00E53E52">
        <w:rPr>
          <w:rFonts w:ascii="Century Schoolbook" w:hAnsi="Century Schoolbook" w:cs="Times New Roman"/>
          <w:i/>
        </w:rPr>
        <w:t>Matter of Negusie</w:t>
      </w:r>
      <w:r w:rsidRPr="00E53E52">
        <w:rPr>
          <w:rFonts w:ascii="Century Schoolbook" w:hAnsi="Century Schoolbook" w:cs="Times New Roman"/>
        </w:rPr>
        <w:t xml:space="preserve">, 27 I. &amp; N. Dec. 347, 363 (BIA 2018). </w:t>
      </w:r>
      <w:r w:rsidR="00397490" w:rsidRPr="00E53E52">
        <w:rPr>
          <w:rFonts w:ascii="Century Schoolbook" w:hAnsi="Century Schoolbook" w:cs="Times New Roman"/>
        </w:rPr>
        <w:t xml:space="preserve">In October 2018, then-Attorney General Sessions referred this decision to himself for review on whether “coercion and duress </w:t>
      </w:r>
      <w:r w:rsidR="00397490" w:rsidRPr="00E53E52">
        <w:rPr>
          <w:rFonts w:ascii="Century Schoolbook" w:hAnsi="Century Schoolbook" w:cs="Times New Roman"/>
        </w:rPr>
        <w:lastRenderedPageBreak/>
        <w:t>are relevant to the application of the Immigration and Nationality Act’s persecutor bar.</w:t>
      </w:r>
      <w:r w:rsidR="00A47781" w:rsidRPr="00E53E52">
        <w:rPr>
          <w:rFonts w:ascii="Century Schoolbook" w:hAnsi="Century Schoolbook" w:cs="Times New Roman"/>
        </w:rPr>
        <w:t>”</w:t>
      </w:r>
      <w:r w:rsidR="00397490" w:rsidRPr="00E53E52">
        <w:rPr>
          <w:rFonts w:ascii="Century Schoolbook" w:hAnsi="Century Schoolbook" w:cs="Times New Roman"/>
        </w:rPr>
        <w:t xml:space="preserve"> </w:t>
      </w:r>
      <w:r w:rsidR="00397490" w:rsidRPr="00E53E52">
        <w:rPr>
          <w:rFonts w:ascii="Century Schoolbook" w:hAnsi="Century Schoolbook" w:cs="Times New Roman"/>
          <w:i/>
        </w:rPr>
        <w:t>Matter of Negusie</w:t>
      </w:r>
      <w:r w:rsidR="00397490" w:rsidRPr="00E53E52">
        <w:rPr>
          <w:rFonts w:ascii="Century Schoolbook" w:hAnsi="Century Schoolbook" w:cs="Times New Roman"/>
        </w:rPr>
        <w:t>, 27 I &amp; N Dec. 481 (AG 2018).</w:t>
      </w:r>
    </w:p>
    <w:p w14:paraId="1546A162" w14:textId="467C32BF" w:rsidR="009922B2" w:rsidRPr="00E53E52" w:rsidRDefault="009922B2" w:rsidP="0036367F">
      <w:pPr>
        <w:keepNext/>
        <w:spacing w:after="120"/>
        <w:rPr>
          <w:rFonts w:ascii="Century Schoolbook" w:hAnsi="Century Schoolbook" w:cs="Times New Roman"/>
          <w:b/>
        </w:rPr>
      </w:pPr>
      <w:r w:rsidRPr="00E53E52">
        <w:rPr>
          <w:rFonts w:ascii="Century Schoolbook" w:hAnsi="Century Schoolbook" w:cs="Times New Roman"/>
          <w:b/>
        </w:rPr>
        <w:t>p. 551, a</w:t>
      </w:r>
      <w:r w:rsidR="00A23119" w:rsidRPr="00E53E52">
        <w:rPr>
          <w:rFonts w:ascii="Century Schoolbook" w:hAnsi="Century Schoolbook" w:cs="Times New Roman"/>
          <w:b/>
        </w:rPr>
        <w:t xml:space="preserve">fter the first full </w:t>
      </w:r>
      <w:r w:rsidRPr="00E53E52">
        <w:rPr>
          <w:rFonts w:ascii="Century Schoolbook" w:hAnsi="Century Schoolbook" w:cs="Times New Roman"/>
          <w:b/>
        </w:rPr>
        <w:t>paragraph, add</w:t>
      </w:r>
      <w:r w:rsidR="0059262A" w:rsidRPr="00E53E52">
        <w:rPr>
          <w:rFonts w:ascii="Century Schoolbook" w:hAnsi="Century Schoolbook" w:cs="Times New Roman"/>
          <w:b/>
        </w:rPr>
        <w:t xml:space="preserve"> new paragraph</w:t>
      </w:r>
      <w:r w:rsidR="00A23119" w:rsidRPr="00E53E52">
        <w:rPr>
          <w:rFonts w:ascii="Century Schoolbook" w:hAnsi="Century Schoolbook" w:cs="Times New Roman"/>
          <w:b/>
        </w:rPr>
        <w:t>:</w:t>
      </w:r>
    </w:p>
    <w:p w14:paraId="25B3B6EF" w14:textId="149D8D28" w:rsidR="0059262A" w:rsidRPr="00E53E52" w:rsidRDefault="004F38C9" w:rsidP="0036367F">
      <w:pPr>
        <w:spacing w:before="100" w:after="120"/>
        <w:ind w:firstLine="720"/>
        <w:jc w:val="both"/>
        <w:rPr>
          <w:rFonts w:ascii="Century Schoolbook" w:hAnsi="Century Schoolbook" w:cs="Times New Roman"/>
        </w:rPr>
      </w:pPr>
      <w:r w:rsidRPr="00E53E52">
        <w:rPr>
          <w:rFonts w:ascii="Century Schoolbook" w:hAnsi="Century Schoolbook"/>
        </w:rPr>
        <w:t>DHS continued to exercise the group-based exemption authority</w:t>
      </w:r>
      <w:r w:rsidR="00BF68E1" w:rsidRPr="00E53E52">
        <w:rPr>
          <w:rFonts w:ascii="Century Schoolbook" w:hAnsi="Century Schoolbook"/>
        </w:rPr>
        <w:t xml:space="preserve"> throughout the Obama Administration</w:t>
      </w:r>
      <w:r w:rsidRPr="00E53E52">
        <w:rPr>
          <w:rFonts w:ascii="Century Schoolbook" w:hAnsi="Century Schoolbook"/>
        </w:rPr>
        <w:t>.</w:t>
      </w:r>
      <w:r w:rsidR="00810FDA" w:rsidRPr="00E53E52">
        <w:rPr>
          <w:rFonts w:ascii="Century Schoolbook" w:hAnsi="Century Schoolbook"/>
        </w:rPr>
        <w:t xml:space="preserve"> </w:t>
      </w:r>
      <w:r w:rsidRPr="00E53E52">
        <w:rPr>
          <w:rFonts w:ascii="Century Schoolbook" w:hAnsi="Century Schoolbook"/>
        </w:rPr>
        <w:t>In April 2016 DHS determined that exemptions should be applied to the All Burma Muslim Union, th</w:t>
      </w:r>
      <w:r w:rsidR="00BF68E1" w:rsidRPr="00E53E52">
        <w:rPr>
          <w:rFonts w:ascii="Century Schoolbook" w:hAnsi="Century Schoolbook"/>
        </w:rPr>
        <w:t>e Karen National Defense Organiz</w:t>
      </w:r>
      <w:r w:rsidRPr="00E53E52">
        <w:rPr>
          <w:rFonts w:ascii="Century Schoolbook" w:hAnsi="Century Schoolbook"/>
        </w:rPr>
        <w:t>ation, and 19 other Burmese resistance groups</w:t>
      </w:r>
      <w:r w:rsidRPr="00E53E52">
        <w:rPr>
          <w:rFonts w:ascii="Century Schoolbook" w:hAnsi="Century Schoolbook"/>
          <w:i/>
        </w:rPr>
        <w:t>.</w:t>
      </w:r>
      <w:r w:rsidR="00810FDA" w:rsidRPr="00E53E52">
        <w:rPr>
          <w:rFonts w:ascii="Century Schoolbook" w:hAnsi="Century Schoolbook"/>
          <w:i/>
        </w:rPr>
        <w:t xml:space="preserve"> </w:t>
      </w:r>
      <w:r w:rsidRPr="00E53E52">
        <w:rPr>
          <w:rFonts w:ascii="Century Schoolbook" w:hAnsi="Century Schoolbook"/>
        </w:rPr>
        <w:t>81 Fed. Reg. 21891, Apr. 13, 2016.</w:t>
      </w:r>
      <w:r w:rsidR="00810FDA" w:rsidRPr="00E53E52">
        <w:rPr>
          <w:rFonts w:ascii="Century Schoolbook" w:hAnsi="Century Schoolbook"/>
        </w:rPr>
        <w:t xml:space="preserve"> </w:t>
      </w:r>
      <w:r w:rsidR="0059262A" w:rsidRPr="00E53E52">
        <w:rPr>
          <w:rFonts w:ascii="Century Schoolbook" w:hAnsi="Century Schoolbook" w:cs="Times New Roman"/>
        </w:rPr>
        <w:t xml:space="preserve">In October 2016, USCIS revised its policy on processing TRIG grounds in asylum cases, Policy Memorandum PM 602-0317, </w:t>
      </w:r>
      <w:r w:rsidR="0059262A" w:rsidRPr="00E53E52">
        <w:rPr>
          <w:rFonts w:ascii="Century Schoolbook" w:hAnsi="Century Schoolbook" w:cs="Times New Roman"/>
          <w:i/>
        </w:rPr>
        <w:t>Revised Guidance for Processing Asylum Cases Involving Terrorism-Related Inadmissibility Grounds</w:t>
      </w:r>
      <w:r w:rsidR="0059262A" w:rsidRPr="00E53E52">
        <w:rPr>
          <w:rFonts w:ascii="Century Schoolbook" w:hAnsi="Century Schoolbook" w:cs="Times New Roman"/>
        </w:rPr>
        <w:t>, October 5, 2016.</w:t>
      </w:r>
      <w:r w:rsidR="00810FDA" w:rsidRPr="00E53E52">
        <w:rPr>
          <w:rFonts w:ascii="Century Schoolbook" w:hAnsi="Century Schoolbook" w:cs="Times New Roman"/>
        </w:rPr>
        <w:t xml:space="preserve"> </w:t>
      </w:r>
      <w:r w:rsidR="0059262A" w:rsidRPr="00E53E52">
        <w:rPr>
          <w:rFonts w:ascii="Century Schoolbook" w:hAnsi="Century Schoolbook" w:cs="Times New Roman"/>
        </w:rPr>
        <w:t>Whether the policies remain in place</w:t>
      </w:r>
      <w:r w:rsidR="00397C15" w:rsidRPr="00E53E52">
        <w:rPr>
          <w:rFonts w:ascii="Century Schoolbook" w:hAnsi="Century Schoolbook" w:cs="Times New Roman"/>
        </w:rPr>
        <w:t>, however,</w:t>
      </w:r>
      <w:r w:rsidR="0059262A" w:rsidRPr="00E53E52">
        <w:rPr>
          <w:rFonts w:ascii="Century Schoolbook" w:hAnsi="Century Schoolbook" w:cs="Times New Roman"/>
        </w:rPr>
        <w:t xml:space="preserve"> remains to be seen. Section 7 of Executive Order 13780, </w:t>
      </w:r>
      <w:r w:rsidR="0059262A" w:rsidRPr="00E53E52">
        <w:rPr>
          <w:rFonts w:ascii="Century Schoolbook" w:hAnsi="Century Schoolbook" w:cs="Times New Roman"/>
          <w:i/>
        </w:rPr>
        <w:t>Protecting the Nation from Foreign Terrorist Entry</w:t>
      </w:r>
      <w:r w:rsidR="0059262A" w:rsidRPr="00E53E52">
        <w:rPr>
          <w:rFonts w:ascii="Century Schoolbook" w:hAnsi="Century Schoolbook" w:cs="Times New Roman"/>
        </w:rPr>
        <w:t xml:space="preserve"> </w:t>
      </w:r>
      <w:r w:rsidR="0059262A" w:rsidRPr="00E53E52">
        <w:rPr>
          <w:rFonts w:ascii="Century Schoolbook" w:hAnsi="Century Schoolbook" w:cs="Times New Roman"/>
          <w:i/>
        </w:rPr>
        <w:t>into the United States</w:t>
      </w:r>
      <w:r w:rsidR="0059262A" w:rsidRPr="00E53E52">
        <w:rPr>
          <w:rFonts w:ascii="Century Schoolbook" w:hAnsi="Century Schoolbook" w:cs="Times New Roman"/>
        </w:rPr>
        <w:t xml:space="preserve">, </w:t>
      </w:r>
      <w:r w:rsidR="006326B6" w:rsidRPr="00E53E52">
        <w:rPr>
          <w:rFonts w:ascii="Century Schoolbook" w:hAnsi="Century Schoolbook" w:cs="Times New Roman"/>
        </w:rPr>
        <w:t>in the statutory supplement</w:t>
      </w:r>
      <w:r w:rsidR="00397C15" w:rsidRPr="00E53E52">
        <w:rPr>
          <w:rFonts w:ascii="Century Schoolbook" w:hAnsi="Century Schoolbook" w:cs="Times New Roman"/>
        </w:rPr>
        <w:t xml:space="preserve">, </w:t>
      </w:r>
      <w:r w:rsidR="0059262A" w:rsidRPr="00E53E52">
        <w:rPr>
          <w:rFonts w:ascii="Century Schoolbook" w:hAnsi="Century Schoolbook" w:cs="Times New Roman"/>
        </w:rPr>
        <w:t>directed Trump Administration officials to consider rescinding all TRIG exemptions and prior directives and guidance.</w:t>
      </w:r>
      <w:r w:rsidR="00810FDA" w:rsidRPr="00E53E52">
        <w:rPr>
          <w:rFonts w:ascii="Century Schoolbook" w:hAnsi="Century Schoolbook" w:cs="Times New Roman"/>
        </w:rPr>
        <w:t xml:space="preserve"> </w:t>
      </w:r>
      <w:r w:rsidR="0059262A" w:rsidRPr="00E53E52">
        <w:rPr>
          <w:rFonts w:ascii="Century Schoolbook" w:hAnsi="Century Schoolbook" w:cs="Times New Roman"/>
        </w:rPr>
        <w:t xml:space="preserve">Discussions of </w:t>
      </w:r>
      <w:r w:rsidR="00C909C4" w:rsidRPr="00E53E52">
        <w:rPr>
          <w:rFonts w:ascii="Century Schoolbook" w:hAnsi="Century Schoolbook" w:cs="Times New Roman"/>
        </w:rPr>
        <w:t>“</w:t>
      </w:r>
      <w:r w:rsidR="0059262A" w:rsidRPr="00E53E52">
        <w:rPr>
          <w:rFonts w:ascii="Century Schoolbook" w:hAnsi="Century Schoolbook" w:cs="Times New Roman"/>
        </w:rPr>
        <w:t>pulling back</w:t>
      </w:r>
      <w:r w:rsidR="00C909C4" w:rsidRPr="00E53E52">
        <w:rPr>
          <w:rFonts w:ascii="Century Schoolbook" w:hAnsi="Century Schoolbook" w:cs="Times New Roman"/>
        </w:rPr>
        <w:t>”</w:t>
      </w:r>
      <w:r w:rsidR="0059262A" w:rsidRPr="00E53E52">
        <w:rPr>
          <w:rFonts w:ascii="Century Schoolbook" w:hAnsi="Century Schoolbook" w:cs="Times New Roman"/>
        </w:rPr>
        <w:t xml:space="preserve"> the waivers are underway.</w:t>
      </w:r>
      <w:r w:rsidR="00810FDA" w:rsidRPr="00E53E52">
        <w:rPr>
          <w:rFonts w:ascii="Century Schoolbook" w:hAnsi="Century Schoolbook" w:cs="Times New Roman"/>
        </w:rPr>
        <w:t xml:space="preserve"> </w:t>
      </w:r>
      <w:r w:rsidR="0059262A" w:rsidRPr="00E53E52">
        <w:rPr>
          <w:rFonts w:ascii="Century Schoolbook" w:hAnsi="Century Schoolbook" w:cs="Times New Roman"/>
        </w:rPr>
        <w:t xml:space="preserve">Mica Rosenberg &amp; Yeganeh Torbati, </w:t>
      </w:r>
      <w:r w:rsidR="00E42CC4" w:rsidRPr="00E53E52">
        <w:rPr>
          <w:rFonts w:ascii="Century Schoolbook" w:hAnsi="Century Schoolbook" w:cs="Times New Roman"/>
          <w:i/>
        </w:rPr>
        <w:t>Trump Administration May Change</w:t>
      </w:r>
      <w:r w:rsidR="0059262A" w:rsidRPr="00E53E52">
        <w:rPr>
          <w:rFonts w:ascii="Century Schoolbook" w:hAnsi="Century Schoolbook" w:cs="Times New Roman"/>
          <w:i/>
        </w:rPr>
        <w:t xml:space="preserve"> Rules that Allow Terror Victims to Immigrate to U.S</w:t>
      </w:r>
      <w:r w:rsidR="0059262A" w:rsidRPr="00E53E52">
        <w:rPr>
          <w:rFonts w:ascii="Century Schoolbook" w:hAnsi="Century Schoolbook" w:cs="Times New Roman"/>
        </w:rPr>
        <w:t xml:space="preserve">., Reuters, April 21, 2017. </w:t>
      </w:r>
    </w:p>
    <w:p w14:paraId="746A9467" w14:textId="346D7D16" w:rsidR="002A18B6" w:rsidRPr="00E53E52" w:rsidRDefault="002A18B6" w:rsidP="0036367F">
      <w:pPr>
        <w:keepNext/>
        <w:spacing w:after="120"/>
        <w:rPr>
          <w:rFonts w:ascii="Century Schoolbook" w:hAnsi="Century Schoolbook" w:cs="Times New Roman"/>
          <w:b/>
        </w:rPr>
      </w:pPr>
      <w:r w:rsidRPr="00E53E52">
        <w:rPr>
          <w:rFonts w:ascii="Century Schoolbook" w:hAnsi="Century Schoolbook" w:cs="Times New Roman"/>
          <w:b/>
        </w:rPr>
        <w:t xml:space="preserve">p. 551, </w:t>
      </w:r>
      <w:r w:rsidR="003C2213" w:rsidRPr="00E53E52">
        <w:rPr>
          <w:rFonts w:ascii="Century Schoolbook" w:hAnsi="Century Schoolbook" w:cs="Times New Roman"/>
          <w:b/>
        </w:rPr>
        <w:t xml:space="preserve">in </w:t>
      </w:r>
      <w:r w:rsidRPr="00E53E52">
        <w:rPr>
          <w:rFonts w:ascii="Century Schoolbook" w:hAnsi="Century Schoolbook" w:cs="Times New Roman"/>
          <w:b/>
        </w:rPr>
        <w:t xml:space="preserve">the </w:t>
      </w:r>
      <w:r w:rsidR="003C2213" w:rsidRPr="00E53E52">
        <w:rPr>
          <w:rFonts w:ascii="Century Schoolbook" w:hAnsi="Century Schoolbook" w:cs="Times New Roman"/>
          <w:b/>
        </w:rPr>
        <w:t>second</w:t>
      </w:r>
      <w:r w:rsidRPr="00E53E52">
        <w:rPr>
          <w:rFonts w:ascii="Century Schoolbook" w:hAnsi="Century Schoolbook" w:cs="Times New Roman"/>
          <w:b/>
        </w:rPr>
        <w:t xml:space="preserve"> full paragraph, </w:t>
      </w:r>
      <w:r w:rsidR="003C2213" w:rsidRPr="00E53E52">
        <w:rPr>
          <w:rFonts w:ascii="Century Schoolbook" w:hAnsi="Century Schoolbook" w:cs="Times New Roman"/>
          <w:b/>
        </w:rPr>
        <w:t xml:space="preserve">replace the first two words </w:t>
      </w:r>
      <w:r w:rsidR="00C909C4" w:rsidRPr="00E53E52">
        <w:rPr>
          <w:rFonts w:ascii="Century Schoolbook" w:hAnsi="Century Schoolbook" w:cs="Times New Roman"/>
          <w:b/>
        </w:rPr>
        <w:t>“</w:t>
      </w:r>
      <w:r w:rsidR="003C2213" w:rsidRPr="00E53E52">
        <w:rPr>
          <w:rFonts w:ascii="Century Schoolbook" w:hAnsi="Century Schoolbook" w:cs="Times New Roman"/>
          <w:b/>
        </w:rPr>
        <w:t>In general</w:t>
      </w:r>
      <w:r w:rsidR="00C909C4" w:rsidRPr="00E53E52">
        <w:rPr>
          <w:rFonts w:ascii="Century Schoolbook" w:hAnsi="Century Schoolbook" w:cs="Times New Roman"/>
          <w:b/>
        </w:rPr>
        <w:t>”</w:t>
      </w:r>
      <w:r w:rsidR="003C2213" w:rsidRPr="00E53E52">
        <w:rPr>
          <w:rFonts w:ascii="Century Schoolbook" w:hAnsi="Century Schoolbook" w:cs="Times New Roman"/>
          <w:b/>
        </w:rPr>
        <w:t xml:space="preserve"> with</w:t>
      </w:r>
      <w:r w:rsidRPr="00E53E52">
        <w:rPr>
          <w:rFonts w:ascii="Century Schoolbook" w:hAnsi="Century Schoolbook" w:cs="Times New Roman"/>
          <w:b/>
        </w:rPr>
        <w:t>:</w:t>
      </w:r>
    </w:p>
    <w:p w14:paraId="34A171DE" w14:textId="68D9B380" w:rsidR="00847722" w:rsidRPr="00E53E52" w:rsidRDefault="00847722" w:rsidP="001D1D6E">
      <w:pPr>
        <w:spacing w:after="120"/>
        <w:ind w:firstLine="720"/>
        <w:jc w:val="both"/>
        <w:rPr>
          <w:rFonts w:ascii="Century Schoolbook" w:hAnsi="Century Schoolbook" w:cs="Times New Roman"/>
        </w:rPr>
      </w:pPr>
      <w:r w:rsidRPr="00E53E52">
        <w:rPr>
          <w:rFonts w:ascii="Century Schoolbook" w:hAnsi="Century Schoolbook" w:cs="Times New Roman"/>
        </w:rPr>
        <w:t xml:space="preserve">If TRIG exemptions remain in place, </w:t>
      </w:r>
      <w:r w:rsidR="002A18B6" w:rsidRPr="00E53E52">
        <w:rPr>
          <w:rFonts w:ascii="Century Schoolbook" w:hAnsi="Century Schoolbook" w:cs="Times New Roman"/>
        </w:rPr>
        <w:t xml:space="preserve">it is important to note that </w:t>
      </w:r>
    </w:p>
    <w:p w14:paraId="146695EA" w14:textId="77777777" w:rsidR="00EE7095" w:rsidRPr="00E53E52" w:rsidRDefault="00EE7095" w:rsidP="0036367F">
      <w:pPr>
        <w:keepNext/>
        <w:spacing w:after="120"/>
        <w:rPr>
          <w:rFonts w:ascii="Century Schoolbook" w:hAnsi="Century Schoolbook" w:cs="Times New Roman"/>
          <w:b/>
        </w:rPr>
      </w:pPr>
      <w:r w:rsidRPr="00E53E52">
        <w:rPr>
          <w:rFonts w:ascii="Century Schoolbook" w:hAnsi="Century Schoolbook" w:cs="Times New Roman"/>
          <w:b/>
        </w:rPr>
        <w:t xml:space="preserve">p. </w:t>
      </w:r>
      <w:r w:rsidR="00B14207" w:rsidRPr="00E53E52">
        <w:rPr>
          <w:rFonts w:ascii="Century Schoolbook" w:hAnsi="Century Schoolbook" w:cs="Times New Roman"/>
          <w:b/>
        </w:rPr>
        <w:t>555</w:t>
      </w:r>
      <w:r w:rsidRPr="00E53E52">
        <w:rPr>
          <w:rFonts w:ascii="Century Schoolbook" w:hAnsi="Century Schoolbook" w:cs="Times New Roman"/>
          <w:b/>
        </w:rPr>
        <w:t xml:space="preserve">, </w:t>
      </w:r>
      <w:r w:rsidR="00B14207" w:rsidRPr="00E53E52">
        <w:rPr>
          <w:rFonts w:ascii="Century Schoolbook" w:hAnsi="Century Schoolbook" w:cs="Times New Roman"/>
          <w:b/>
        </w:rPr>
        <w:t>at end of penultimate paragraph, add</w:t>
      </w:r>
      <w:r w:rsidRPr="00E53E52">
        <w:rPr>
          <w:rFonts w:ascii="Century Schoolbook" w:hAnsi="Century Schoolbook" w:cs="Times New Roman"/>
          <w:b/>
        </w:rPr>
        <w:t>:</w:t>
      </w:r>
    </w:p>
    <w:p w14:paraId="3E91FEE2" w14:textId="60CDF9F3" w:rsidR="0023520A" w:rsidRPr="00E53E52" w:rsidRDefault="0023520A" w:rsidP="001D1D6E">
      <w:pPr>
        <w:spacing w:after="120"/>
        <w:ind w:firstLine="720"/>
        <w:jc w:val="both"/>
        <w:rPr>
          <w:rFonts w:ascii="Century Schoolbook" w:hAnsi="Century Schoolbook"/>
        </w:rPr>
      </w:pPr>
      <w:r w:rsidRPr="00E53E52">
        <w:rPr>
          <w:rFonts w:ascii="Century Schoolbook" w:hAnsi="Century Schoolbook"/>
        </w:rPr>
        <w:t xml:space="preserve">In February 2014, the Secretaries of State and of Homeland Security jointly issued two more exemptions under INA </w:t>
      </w:r>
      <w:r w:rsidR="008C132A" w:rsidRPr="00E53E52">
        <w:rPr>
          <w:rFonts w:ascii="Century Schoolbook" w:hAnsi="Century Schoolbook"/>
        </w:rPr>
        <w:t>§ </w:t>
      </w:r>
      <w:r w:rsidRPr="00E53E52">
        <w:rPr>
          <w:rFonts w:ascii="Century Schoolbook" w:hAnsi="Century Schoolbook"/>
        </w:rPr>
        <w:t>212(d)(3)(B)(i) that potentially benefit a wide range of persons otherwise barred by the provisions relating to support for or activities with Tier III terrorist organizations or their members</w:t>
      </w:r>
      <w:r w:rsidR="00027B0C" w:rsidRPr="00E53E52">
        <w:rPr>
          <w:rFonts w:ascii="Century Schoolbook" w:hAnsi="Century Schoolbook"/>
        </w:rPr>
        <w:t xml:space="preserve">. </w:t>
      </w:r>
      <w:r w:rsidRPr="00E53E52">
        <w:rPr>
          <w:rFonts w:ascii="Century Schoolbook" w:hAnsi="Century Schoolbook"/>
        </w:rPr>
        <w:t xml:space="preserve">The first deals with the provision of </w:t>
      </w:r>
      <w:r w:rsidR="00C909C4" w:rsidRPr="00E53E52">
        <w:rPr>
          <w:rFonts w:ascii="Century Schoolbook" w:hAnsi="Century Schoolbook"/>
        </w:rPr>
        <w:t>“</w:t>
      </w:r>
      <w:r w:rsidRPr="00E53E52">
        <w:rPr>
          <w:rFonts w:ascii="Century Schoolbook" w:hAnsi="Century Schoolbook"/>
        </w:rPr>
        <w:t>insignificant material support,</w:t>
      </w:r>
      <w:r w:rsidR="00C909C4" w:rsidRPr="00E53E52">
        <w:rPr>
          <w:rFonts w:ascii="Century Schoolbook" w:hAnsi="Century Schoolbook"/>
        </w:rPr>
        <w:t>”</w:t>
      </w:r>
      <w:r w:rsidRPr="00E53E52">
        <w:rPr>
          <w:rFonts w:ascii="Century Schoolbook" w:hAnsi="Century Schoolbook"/>
        </w:rPr>
        <w:t xml:space="preserve"> and the other covers </w:t>
      </w:r>
      <w:r w:rsidR="00C909C4" w:rsidRPr="00E53E52">
        <w:rPr>
          <w:rFonts w:ascii="Century Schoolbook" w:hAnsi="Century Schoolbook"/>
        </w:rPr>
        <w:t>“</w:t>
      </w:r>
      <w:r w:rsidRPr="00E53E52">
        <w:rPr>
          <w:rFonts w:ascii="Century Schoolbook" w:hAnsi="Century Schoolbook"/>
        </w:rPr>
        <w:t>certain routine commercial * * * or social transactions,</w:t>
      </w:r>
      <w:r w:rsidR="00C909C4" w:rsidRPr="00E53E52">
        <w:rPr>
          <w:rFonts w:ascii="Century Schoolbook" w:hAnsi="Century Schoolbook"/>
        </w:rPr>
        <w:t>”</w:t>
      </w:r>
      <w:r w:rsidR="00810FDA" w:rsidRPr="00E53E52">
        <w:rPr>
          <w:rFonts w:ascii="Century Schoolbook" w:hAnsi="Century Schoolbook"/>
        </w:rPr>
        <w:t xml:space="preserve"> </w:t>
      </w:r>
      <w:r w:rsidR="00C909C4" w:rsidRPr="00E53E52">
        <w:rPr>
          <w:rFonts w:ascii="Century Schoolbook" w:hAnsi="Century Schoolbook"/>
        </w:rPr>
        <w:t>“</w:t>
      </w:r>
      <w:r w:rsidRPr="00E53E52">
        <w:rPr>
          <w:rFonts w:ascii="Century Schoolbook" w:hAnsi="Century Schoolbook"/>
        </w:rPr>
        <w:t>certain humanitarian assistance,</w:t>
      </w:r>
      <w:r w:rsidR="00C909C4" w:rsidRPr="00E53E52">
        <w:rPr>
          <w:rFonts w:ascii="Century Schoolbook" w:hAnsi="Century Schoolbook"/>
        </w:rPr>
        <w:t>”</w:t>
      </w:r>
      <w:r w:rsidRPr="00E53E52">
        <w:rPr>
          <w:rFonts w:ascii="Century Schoolbook" w:hAnsi="Century Schoolbook"/>
        </w:rPr>
        <w:t xml:space="preserve"> and certain assistance provided </w:t>
      </w:r>
      <w:r w:rsidR="00C909C4" w:rsidRPr="00E53E52">
        <w:rPr>
          <w:rFonts w:ascii="Century Schoolbook" w:hAnsi="Century Schoolbook"/>
        </w:rPr>
        <w:t>“</w:t>
      </w:r>
      <w:r w:rsidRPr="00E53E52">
        <w:rPr>
          <w:rFonts w:ascii="Century Schoolbook" w:hAnsi="Century Schoolbook"/>
        </w:rPr>
        <w:t>under substantial pressure that does not rise to the level of duress.</w:t>
      </w:r>
      <w:r w:rsidR="00C909C4" w:rsidRPr="00E53E52">
        <w:rPr>
          <w:rFonts w:ascii="Century Schoolbook" w:hAnsi="Century Schoolbook"/>
        </w:rPr>
        <w:t>”</w:t>
      </w:r>
      <w:r w:rsidRPr="00E53E52">
        <w:rPr>
          <w:rFonts w:ascii="Century Schoolbook" w:hAnsi="Century Schoolbook"/>
        </w:rPr>
        <w:t xml:space="preserve"> 79 Fed.</w:t>
      </w:r>
      <w:r w:rsidR="002408B1" w:rsidRPr="00E53E52">
        <w:rPr>
          <w:rFonts w:ascii="Century Schoolbook" w:hAnsi="Century Schoolbook"/>
        </w:rPr>
        <w:t xml:space="preserve"> </w:t>
      </w:r>
      <w:r w:rsidRPr="00E53E52">
        <w:rPr>
          <w:rFonts w:ascii="Century Schoolbook" w:hAnsi="Century Schoolbook"/>
        </w:rPr>
        <w:t>Reg. 6913–15 (2014)</w:t>
      </w:r>
      <w:r w:rsidR="00027B0C" w:rsidRPr="00E53E52">
        <w:rPr>
          <w:rFonts w:ascii="Century Schoolbook" w:hAnsi="Century Schoolbook"/>
        </w:rPr>
        <w:t xml:space="preserve">. </w:t>
      </w:r>
      <w:r w:rsidRPr="00E53E52">
        <w:rPr>
          <w:rFonts w:ascii="Century Schoolbook" w:hAnsi="Century Schoolbook"/>
        </w:rPr>
        <w:t>As is customary, detailed application of these complicated provisions will be administered primarily by USCIS, in a discretionary process not subject to judicial review.</w:t>
      </w:r>
    </w:p>
    <w:p w14:paraId="01EC0BE2" w14:textId="2CC2385C" w:rsidR="005F61A7" w:rsidRPr="00E53E52" w:rsidRDefault="005F61A7" w:rsidP="001D1D6E">
      <w:pPr>
        <w:spacing w:after="120"/>
        <w:rPr>
          <w:rFonts w:ascii="Century Schoolbook" w:hAnsi="Century Schoolbook"/>
          <w:b/>
        </w:rPr>
      </w:pPr>
      <w:r w:rsidRPr="00E53E52">
        <w:rPr>
          <w:rFonts w:ascii="Century Schoolbook" w:hAnsi="Century Schoolbook"/>
          <w:b/>
        </w:rPr>
        <w:t xml:space="preserve">p. </w:t>
      </w:r>
      <w:r w:rsidR="00BA00AF" w:rsidRPr="00E53E52">
        <w:rPr>
          <w:rFonts w:ascii="Century Schoolbook" w:hAnsi="Century Schoolbook"/>
          <w:b/>
        </w:rPr>
        <w:t>5</w:t>
      </w:r>
      <w:r w:rsidRPr="00E53E52">
        <w:rPr>
          <w:rFonts w:ascii="Century Schoolbook" w:hAnsi="Century Schoolbook"/>
          <w:b/>
        </w:rPr>
        <w:t>6</w:t>
      </w:r>
      <w:r w:rsidR="00725B0D" w:rsidRPr="00E53E52">
        <w:rPr>
          <w:rFonts w:ascii="Century Schoolbook" w:hAnsi="Century Schoolbook"/>
          <w:b/>
        </w:rPr>
        <w:t>3</w:t>
      </w:r>
      <w:r w:rsidRPr="00E53E52">
        <w:rPr>
          <w:rFonts w:ascii="Century Schoolbook" w:hAnsi="Century Schoolbook"/>
          <w:b/>
        </w:rPr>
        <w:t xml:space="preserve">, </w:t>
      </w:r>
      <w:r w:rsidR="00B27F6D" w:rsidRPr="00E53E52">
        <w:rPr>
          <w:rFonts w:ascii="Century Schoolbook" w:hAnsi="Century Schoolbook"/>
          <w:b/>
        </w:rPr>
        <w:t xml:space="preserve">to the end of the first </w:t>
      </w:r>
      <w:r w:rsidRPr="00E53E52">
        <w:rPr>
          <w:rFonts w:ascii="Century Schoolbook" w:hAnsi="Century Schoolbook"/>
          <w:b/>
        </w:rPr>
        <w:t>full paragraph</w:t>
      </w:r>
      <w:r w:rsidR="00D50414" w:rsidRPr="00E53E52">
        <w:rPr>
          <w:rFonts w:ascii="Century Schoolbook" w:hAnsi="Century Schoolbook"/>
          <w:b/>
        </w:rPr>
        <w:t>, add</w:t>
      </w:r>
      <w:r w:rsidRPr="00E53E52">
        <w:rPr>
          <w:rFonts w:ascii="Century Schoolbook" w:hAnsi="Century Schoolbook"/>
          <w:b/>
        </w:rPr>
        <w:t>:</w:t>
      </w:r>
      <w:r w:rsidR="00810FDA" w:rsidRPr="00E53E52">
        <w:rPr>
          <w:rFonts w:ascii="Century Schoolbook" w:hAnsi="Century Schoolbook"/>
          <w:b/>
        </w:rPr>
        <w:t xml:space="preserve"> </w:t>
      </w:r>
    </w:p>
    <w:p w14:paraId="5790802B" w14:textId="5FB0AA20" w:rsidR="00D50414" w:rsidRPr="00E53E52" w:rsidRDefault="00725B0D" w:rsidP="001D1D6E">
      <w:pPr>
        <w:spacing w:after="120"/>
        <w:jc w:val="both"/>
        <w:rPr>
          <w:rFonts w:ascii="Century Schoolbook" w:hAnsi="Century Schoolbook"/>
        </w:rPr>
      </w:pPr>
      <w:r w:rsidRPr="00E53E52">
        <w:rPr>
          <w:rFonts w:ascii="Century Schoolbook" w:hAnsi="Century Schoolbook"/>
        </w:rPr>
        <w:t>In 2014 the BIA addressed the burden of proof in a termination proceeding before an immigration judge</w:t>
      </w:r>
      <w:r w:rsidR="00027B0C" w:rsidRPr="00E53E52">
        <w:rPr>
          <w:rFonts w:ascii="Century Schoolbook" w:hAnsi="Century Schoolbook"/>
        </w:rPr>
        <w:t xml:space="preserve">. </w:t>
      </w:r>
      <w:r w:rsidR="00D50414" w:rsidRPr="00E53E52">
        <w:rPr>
          <w:rFonts w:ascii="Century Schoolbook" w:hAnsi="Century Schoolbook"/>
        </w:rPr>
        <w:t xml:space="preserve">In </w:t>
      </w:r>
      <w:r w:rsidR="00D50414" w:rsidRPr="00E53E52">
        <w:rPr>
          <w:rFonts w:ascii="Century Schoolbook" w:hAnsi="Century Schoolbook"/>
          <w:i/>
        </w:rPr>
        <w:t>Matter of P-S-H</w:t>
      </w:r>
      <w:r w:rsidR="00D50414" w:rsidRPr="00E53E52">
        <w:rPr>
          <w:rFonts w:ascii="Century Schoolbook" w:hAnsi="Century Schoolbook"/>
        </w:rPr>
        <w:t>, 26 I &amp; N Dec. 329 (BIA 2014), an attorney had been convicted of making false statements and submitting false medical documents in the applicant</w:t>
      </w:r>
      <w:r w:rsidR="00C909C4" w:rsidRPr="00E53E52">
        <w:rPr>
          <w:rFonts w:ascii="Century Schoolbook" w:hAnsi="Century Schoolbook"/>
        </w:rPr>
        <w:t>’</w:t>
      </w:r>
      <w:r w:rsidR="00D50414" w:rsidRPr="00E53E52">
        <w:rPr>
          <w:rFonts w:ascii="Century Schoolbook" w:hAnsi="Century Schoolbook"/>
        </w:rPr>
        <w:t>s asylum application</w:t>
      </w:r>
      <w:r w:rsidR="00027B0C" w:rsidRPr="00E53E52">
        <w:rPr>
          <w:rFonts w:ascii="Century Schoolbook" w:hAnsi="Century Schoolbook"/>
        </w:rPr>
        <w:t xml:space="preserve">. </w:t>
      </w:r>
      <w:r w:rsidRPr="00E53E52">
        <w:rPr>
          <w:rFonts w:ascii="Century Schoolbook" w:hAnsi="Century Schoolbook"/>
        </w:rPr>
        <w:t>T</w:t>
      </w:r>
      <w:r w:rsidR="00D50414" w:rsidRPr="00E53E52">
        <w:rPr>
          <w:rFonts w:ascii="Century Schoolbook" w:hAnsi="Century Schoolbook"/>
        </w:rPr>
        <w:t>he BIA ruled that DHS d</w:t>
      </w:r>
      <w:r w:rsidRPr="00E53E52">
        <w:rPr>
          <w:rFonts w:ascii="Century Schoolbook" w:hAnsi="Century Schoolbook"/>
        </w:rPr>
        <w:t>id</w:t>
      </w:r>
      <w:r w:rsidR="00D50414" w:rsidRPr="00E53E52">
        <w:rPr>
          <w:rFonts w:ascii="Century Schoolbook" w:hAnsi="Century Schoolbook"/>
        </w:rPr>
        <w:t xml:space="preserve"> not need to prove an asylee knew there was fraud in the asylum application in order to terminate a grant of asylum</w:t>
      </w:r>
      <w:r w:rsidR="00027B0C" w:rsidRPr="00E53E52">
        <w:rPr>
          <w:rFonts w:ascii="Century Schoolbook" w:hAnsi="Century Schoolbook"/>
        </w:rPr>
        <w:t xml:space="preserve">. </w:t>
      </w:r>
      <w:r w:rsidR="00D50414" w:rsidRPr="00E53E52">
        <w:rPr>
          <w:rFonts w:ascii="Century Schoolbook" w:hAnsi="Century Schoolbook"/>
        </w:rPr>
        <w:t xml:space="preserve">It </w:t>
      </w:r>
      <w:r w:rsidRPr="00E53E52">
        <w:rPr>
          <w:rFonts w:ascii="Century Schoolbook" w:hAnsi="Century Schoolbook"/>
        </w:rPr>
        <w:t>wa</w:t>
      </w:r>
      <w:r w:rsidR="00D50414" w:rsidRPr="00E53E52">
        <w:rPr>
          <w:rFonts w:ascii="Century Schoolbook" w:hAnsi="Century Schoolbook"/>
        </w:rPr>
        <w:t>s sufficient if DHS prove</w:t>
      </w:r>
      <w:r w:rsidRPr="00E53E52">
        <w:rPr>
          <w:rFonts w:ascii="Century Schoolbook" w:hAnsi="Century Schoolbook"/>
        </w:rPr>
        <w:t>d</w:t>
      </w:r>
      <w:r w:rsidR="00D50414" w:rsidRPr="00E53E52">
        <w:rPr>
          <w:rFonts w:ascii="Century Schoolbook" w:hAnsi="Century Schoolbook"/>
        </w:rPr>
        <w:t xml:space="preserve"> by a preponderance of the evidence that there was fraud in the application and that without the fraud the applicant was not eligible for asylum</w:t>
      </w:r>
      <w:r w:rsidR="00027B0C" w:rsidRPr="00E53E52">
        <w:rPr>
          <w:rFonts w:ascii="Century Schoolbook" w:hAnsi="Century Schoolbook"/>
        </w:rPr>
        <w:t xml:space="preserve">. </w:t>
      </w:r>
    </w:p>
    <w:p w14:paraId="5D91CBC3" w14:textId="77777777" w:rsidR="00D33551" w:rsidRPr="00E53E52" w:rsidRDefault="00D33551" w:rsidP="001D1D6E">
      <w:pPr>
        <w:spacing w:after="120"/>
        <w:rPr>
          <w:rFonts w:ascii="Century Schoolbook" w:hAnsi="Century Schoolbook"/>
          <w:b/>
          <w:caps/>
        </w:rPr>
      </w:pPr>
      <w:r w:rsidRPr="00E53E52">
        <w:rPr>
          <w:rFonts w:ascii="Century Schoolbook" w:hAnsi="Century Schoolbook"/>
          <w:b/>
          <w:caps/>
        </w:rPr>
        <w:br w:type="page"/>
      </w:r>
    </w:p>
    <w:p w14:paraId="3D42D606" w14:textId="77777777" w:rsidR="002504FF" w:rsidRPr="00E53E52" w:rsidRDefault="002504FF" w:rsidP="001D1D6E">
      <w:pPr>
        <w:spacing w:after="120"/>
        <w:rPr>
          <w:rFonts w:ascii="Century Schoolbook" w:hAnsi="Century Schoolbook"/>
          <w:b/>
          <w:caps/>
        </w:rPr>
      </w:pPr>
    </w:p>
    <w:p w14:paraId="48198A62" w14:textId="77777777" w:rsidR="001843DF" w:rsidRPr="00E53E52" w:rsidRDefault="001843DF" w:rsidP="001D1D6E">
      <w:pPr>
        <w:spacing w:after="120"/>
        <w:jc w:val="center"/>
        <w:outlineLvl w:val="0"/>
        <w:rPr>
          <w:rFonts w:ascii="Century Schoolbook" w:hAnsi="Century Schoolbook"/>
          <w:b/>
          <w:caps/>
        </w:rPr>
      </w:pPr>
      <w:r w:rsidRPr="00E53E52">
        <w:rPr>
          <w:rFonts w:ascii="Century Schoolbook" w:hAnsi="Century Schoolbook"/>
          <w:b/>
          <w:caps/>
        </w:rPr>
        <w:t xml:space="preserve">Chapter </w:t>
      </w:r>
      <w:r w:rsidR="00325552" w:rsidRPr="00E53E52">
        <w:rPr>
          <w:rFonts w:ascii="Century Schoolbook" w:hAnsi="Century Schoolbook"/>
          <w:b/>
          <w:caps/>
        </w:rPr>
        <w:t>SEVEN</w:t>
      </w:r>
    </w:p>
    <w:p w14:paraId="16DEA227" w14:textId="77777777" w:rsidR="001843DF" w:rsidRPr="00E53E52" w:rsidRDefault="001843DF" w:rsidP="001D1D6E">
      <w:pPr>
        <w:spacing w:after="120"/>
        <w:jc w:val="center"/>
        <w:rPr>
          <w:rFonts w:ascii="Century Schoolbook" w:hAnsi="Century Schoolbook"/>
          <w:b/>
          <w:caps/>
        </w:rPr>
      </w:pPr>
      <w:r w:rsidRPr="00E53E52">
        <w:rPr>
          <w:rFonts w:ascii="Century Schoolbook" w:hAnsi="Century Schoolbook"/>
          <w:b/>
          <w:caps/>
        </w:rPr>
        <w:t>the Convention Against Torture</w:t>
      </w:r>
    </w:p>
    <w:p w14:paraId="1ED3248C" w14:textId="61BF9718" w:rsidR="0003112D" w:rsidRPr="00E53E52" w:rsidRDefault="00327861" w:rsidP="0036367F">
      <w:pPr>
        <w:keepNext/>
        <w:spacing w:after="120"/>
        <w:rPr>
          <w:rFonts w:ascii="Century Schoolbook" w:hAnsi="Century Schoolbook" w:cs="Times New Roman"/>
          <w:b/>
        </w:rPr>
      </w:pPr>
      <w:bookmarkStart w:id="104" w:name="sp_999_1"/>
      <w:bookmarkStart w:id="105" w:name="SDU_1"/>
      <w:bookmarkStart w:id="106" w:name="FN[FN7]"/>
      <w:bookmarkStart w:id="107" w:name="FN_B7"/>
      <w:bookmarkStart w:id="108" w:name="sp_1650_232"/>
      <w:bookmarkStart w:id="109" w:name="SDU_232"/>
      <w:bookmarkStart w:id="110" w:name="FN[FN8]"/>
      <w:bookmarkStart w:id="111" w:name="sp_1650_234"/>
      <w:bookmarkStart w:id="112" w:name="SDU_234"/>
      <w:bookmarkStart w:id="113" w:name="FN[FN9]"/>
      <w:bookmarkStart w:id="114" w:name="FN[FN11]"/>
      <w:bookmarkStart w:id="115" w:name="sp_1650_237"/>
      <w:bookmarkStart w:id="116" w:name="SDU_237"/>
      <w:bookmarkStart w:id="117" w:name="sp_1650_244"/>
      <w:bookmarkStart w:id="118" w:name="SDU_244"/>
      <w:bookmarkStart w:id="119" w:name="sp_1650_246"/>
      <w:bookmarkStart w:id="120" w:name="SDU_246"/>
      <w:bookmarkStart w:id="121" w:name="FN[FN15]"/>
      <w:bookmarkStart w:id="122" w:name="FN_B15"/>
      <w:bookmarkStart w:id="123" w:name="FN[FN17]"/>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E53E52">
        <w:rPr>
          <w:rFonts w:ascii="Century Schoolbook" w:hAnsi="Century Schoolbook" w:cs="Times New Roman"/>
          <w:b/>
        </w:rPr>
        <w:t xml:space="preserve">p. </w:t>
      </w:r>
      <w:r w:rsidR="00B61C8B" w:rsidRPr="00E53E52">
        <w:rPr>
          <w:rFonts w:ascii="Century Schoolbook" w:hAnsi="Century Schoolbook" w:cs="Times New Roman"/>
          <w:b/>
        </w:rPr>
        <w:t>592</w:t>
      </w:r>
      <w:r w:rsidR="0003112D" w:rsidRPr="00E53E52">
        <w:rPr>
          <w:rFonts w:ascii="Century Schoolbook" w:hAnsi="Century Schoolbook" w:cs="Times New Roman"/>
          <w:b/>
        </w:rPr>
        <w:t xml:space="preserve">, at end of first full paragraph, add </w:t>
      </w:r>
      <w:r w:rsidR="0009543C" w:rsidRPr="00E53E52">
        <w:rPr>
          <w:rFonts w:ascii="Century Schoolbook" w:hAnsi="Century Schoolbook" w:cs="Times New Roman"/>
          <w:b/>
        </w:rPr>
        <w:t xml:space="preserve">new </w:t>
      </w:r>
      <w:r w:rsidR="0003112D" w:rsidRPr="00E53E52">
        <w:rPr>
          <w:rFonts w:ascii="Century Schoolbook" w:hAnsi="Century Schoolbook" w:cs="Times New Roman"/>
          <w:b/>
        </w:rPr>
        <w:t>text and new Figure 7.1:</w:t>
      </w:r>
    </w:p>
    <w:p w14:paraId="2E0FED21" w14:textId="021028D3" w:rsidR="0003112D" w:rsidRPr="00E53E52" w:rsidRDefault="00413AF2" w:rsidP="001D1D6E">
      <w:pPr>
        <w:spacing w:after="120"/>
        <w:jc w:val="both"/>
        <w:rPr>
          <w:rFonts w:ascii="Century Schoolbook" w:hAnsi="Century Schoolbook" w:cs="Times New Roman"/>
        </w:rPr>
      </w:pPr>
      <w:r w:rsidRPr="00E53E52">
        <w:rPr>
          <w:rFonts w:ascii="Century Schoolbook" w:hAnsi="Century Schoolbook" w:cs="Times New Roman"/>
        </w:rPr>
        <w:t>Many</w:t>
      </w:r>
      <w:r w:rsidR="00C87124" w:rsidRPr="00E53E52">
        <w:rPr>
          <w:rFonts w:ascii="Century Schoolbook" w:hAnsi="Century Schoolbook" w:cs="Times New Roman"/>
        </w:rPr>
        <w:t xml:space="preserve"> individuals </w:t>
      </w:r>
      <w:r w:rsidRPr="00E53E52">
        <w:rPr>
          <w:rFonts w:ascii="Century Schoolbook" w:hAnsi="Century Schoolbook" w:cs="Times New Roman"/>
        </w:rPr>
        <w:t>who would be entitled to protection under the CAT receive either asylum or withholding of removal.</w:t>
      </w:r>
      <w:r w:rsidR="00810FDA" w:rsidRPr="00E53E52">
        <w:rPr>
          <w:rFonts w:ascii="Century Schoolbook" w:hAnsi="Century Schoolbook" w:cs="Times New Roman"/>
        </w:rPr>
        <w:t xml:space="preserve"> </w:t>
      </w:r>
      <w:r w:rsidR="0077731A" w:rsidRPr="00E53E52">
        <w:rPr>
          <w:rFonts w:ascii="Century Schoolbook" w:hAnsi="Century Schoolbook" w:cs="Times New Roman"/>
        </w:rPr>
        <w:t xml:space="preserve">Few </w:t>
      </w:r>
      <w:r w:rsidR="008E6F67" w:rsidRPr="00E53E52">
        <w:rPr>
          <w:rFonts w:ascii="Century Schoolbook" w:hAnsi="Century Schoolbook" w:cs="Times New Roman"/>
        </w:rPr>
        <w:t>of those who</w:t>
      </w:r>
      <w:r w:rsidR="00B77525" w:rsidRPr="00E53E52">
        <w:rPr>
          <w:rFonts w:ascii="Century Schoolbook" w:hAnsi="Century Schoolbook" w:cs="Times New Roman"/>
        </w:rPr>
        <w:t xml:space="preserve">m the Immigration Judge considers for </w:t>
      </w:r>
      <w:r w:rsidR="0077731A" w:rsidRPr="00E53E52">
        <w:rPr>
          <w:rFonts w:ascii="Century Schoolbook" w:hAnsi="Century Schoolbook" w:cs="Times New Roman"/>
        </w:rPr>
        <w:t xml:space="preserve">CAT </w:t>
      </w:r>
      <w:r w:rsidR="00B77525" w:rsidRPr="00E53E52">
        <w:rPr>
          <w:rFonts w:ascii="Century Schoolbook" w:hAnsi="Century Schoolbook" w:cs="Times New Roman"/>
        </w:rPr>
        <w:t>protection are successful.</w:t>
      </w:r>
      <w:r w:rsidR="00810FDA" w:rsidRPr="00E53E52">
        <w:rPr>
          <w:rFonts w:ascii="Century Schoolbook" w:hAnsi="Century Schoolbook" w:cs="Times New Roman"/>
        </w:rPr>
        <w:t xml:space="preserve"> </w:t>
      </w:r>
      <w:r w:rsidR="00B77525" w:rsidRPr="00E53E52">
        <w:rPr>
          <w:rFonts w:ascii="Century Schoolbook" w:hAnsi="Century Schoolbook" w:cs="Times New Roman"/>
        </w:rPr>
        <w:t xml:space="preserve">As Figure 7.1 shows, </w:t>
      </w:r>
      <w:r w:rsidR="00B334D5" w:rsidRPr="00E53E52">
        <w:rPr>
          <w:rFonts w:ascii="Century Schoolbook" w:hAnsi="Century Schoolbook" w:cs="Times New Roman"/>
        </w:rPr>
        <w:t>a minuscule number of CAT</w:t>
      </w:r>
      <w:r w:rsidR="0048426C" w:rsidRPr="00E53E52">
        <w:rPr>
          <w:rFonts w:ascii="Century Schoolbook" w:hAnsi="Century Schoolbook" w:cs="Times New Roman"/>
        </w:rPr>
        <w:t xml:space="preserve"> applicants </w:t>
      </w:r>
      <w:r w:rsidR="00B334D5" w:rsidRPr="00E53E52">
        <w:rPr>
          <w:rFonts w:ascii="Century Schoolbook" w:hAnsi="Century Schoolbook" w:cs="Times New Roman"/>
        </w:rPr>
        <w:t>are successful.</w:t>
      </w:r>
    </w:p>
    <w:p w14:paraId="71C80170" w14:textId="5A8B67DF" w:rsidR="00397490" w:rsidRPr="00E53E52" w:rsidRDefault="00397490" w:rsidP="00397490">
      <w:pPr>
        <w:keepNext/>
        <w:spacing w:after="0"/>
        <w:jc w:val="center"/>
        <w:rPr>
          <w:rFonts w:ascii="Century Schoolbook" w:hAnsi="Century Schoolbook" w:cs="Times New Roman"/>
          <w:b/>
        </w:rPr>
      </w:pPr>
      <w:r w:rsidRPr="00E53E52">
        <w:rPr>
          <w:rFonts w:ascii="Century Schoolbook" w:hAnsi="Century Schoolbook" w:cs="Times New Roman"/>
          <w:b/>
        </w:rPr>
        <w:t xml:space="preserve">Figure </w:t>
      </w:r>
      <w:r w:rsidR="00C30069" w:rsidRPr="00E53E52">
        <w:rPr>
          <w:rFonts w:ascii="Century Schoolbook" w:hAnsi="Century Schoolbook" w:cs="Times New Roman"/>
          <w:b/>
        </w:rPr>
        <w:t>7</w:t>
      </w:r>
      <w:r w:rsidRPr="00E53E52">
        <w:rPr>
          <w:rFonts w:ascii="Century Schoolbook" w:hAnsi="Century Schoolbook" w:cs="Times New Roman"/>
          <w:b/>
        </w:rPr>
        <w:t>.1</w:t>
      </w:r>
      <w:r w:rsidRPr="00E53E52">
        <w:rPr>
          <w:rFonts w:ascii="Century Schoolbook" w:hAnsi="Century Schoolbook" w:cs="Times New Roman"/>
          <w:b/>
        </w:rPr>
        <w:br/>
        <w:t>Results in Convention Against Torture Cases, 2006-2017</w:t>
      </w:r>
    </w:p>
    <w:p w14:paraId="20EC13E9" w14:textId="77777777" w:rsidR="00397490" w:rsidRPr="00E53E52" w:rsidRDefault="00397490" w:rsidP="00397490">
      <w:pPr>
        <w:jc w:val="center"/>
        <w:rPr>
          <w:rFonts w:ascii="Century Schoolbook" w:eastAsia="Times New Roman" w:hAnsi="Century Schoolbook" w:cs="Times New Roman"/>
          <w:b/>
          <w:noProof/>
          <w:sz w:val="21"/>
          <w:szCs w:val="24"/>
        </w:rPr>
      </w:pPr>
      <w:r w:rsidRPr="00E53E52">
        <w:rPr>
          <w:noProof/>
        </w:rPr>
        <w:drawing>
          <wp:inline distT="0" distB="0" distL="0" distR="0" wp14:anchorId="5E533B00" wp14:editId="3A0B5248">
            <wp:extent cx="5943600" cy="3841750"/>
            <wp:effectExtent l="0" t="0" r="0" b="63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6BAD9EE1" w14:textId="2C47C7DB" w:rsidR="00204DC1" w:rsidRPr="00E53E52" w:rsidRDefault="00B61FA4" w:rsidP="001D1D6E">
      <w:pPr>
        <w:spacing w:after="120"/>
        <w:jc w:val="center"/>
        <w:rPr>
          <w:rFonts w:ascii="Century Schoolbook" w:hAnsi="Century Schoolbook"/>
          <w:sz w:val="18"/>
          <w:szCs w:val="18"/>
        </w:rPr>
      </w:pPr>
      <w:r w:rsidRPr="00E53E52">
        <w:rPr>
          <w:rFonts w:ascii="Century Schoolbook" w:hAnsi="Century Schoolbook"/>
          <w:szCs w:val="18"/>
        </w:rPr>
        <w:t>Source:</w:t>
      </w:r>
      <w:r w:rsidRPr="00E53E52">
        <w:rPr>
          <w:szCs w:val="18"/>
        </w:rPr>
        <w:t xml:space="preserve"> </w:t>
      </w:r>
      <w:r w:rsidRPr="00E53E52">
        <w:rPr>
          <w:rFonts w:ascii="Century Schoolbook" w:hAnsi="Century Schoolbook"/>
          <w:sz w:val="18"/>
          <w:szCs w:val="18"/>
        </w:rPr>
        <w:t>EIOR Statistical Yearbooks 2006-2016.</w:t>
      </w:r>
    </w:p>
    <w:p w14:paraId="58CADBDF" w14:textId="77777777" w:rsidR="00204DC1" w:rsidRPr="00E53E52" w:rsidRDefault="00204DC1">
      <w:pPr>
        <w:rPr>
          <w:rFonts w:ascii="Century Schoolbook" w:hAnsi="Century Schoolbook"/>
          <w:sz w:val="18"/>
          <w:szCs w:val="18"/>
        </w:rPr>
      </w:pPr>
      <w:r w:rsidRPr="00E53E52">
        <w:rPr>
          <w:rFonts w:ascii="Century Schoolbook" w:hAnsi="Century Schoolbook"/>
          <w:sz w:val="18"/>
          <w:szCs w:val="18"/>
        </w:rPr>
        <w:br w:type="page"/>
      </w:r>
    </w:p>
    <w:p w14:paraId="75F3B9EF" w14:textId="10ADF823" w:rsidR="00B334D5" w:rsidRPr="00E53E52" w:rsidRDefault="00F42690" w:rsidP="001D1D6E">
      <w:pPr>
        <w:keepNext/>
        <w:spacing w:after="120"/>
        <w:rPr>
          <w:rFonts w:ascii="Century Schoolbook" w:hAnsi="Century Schoolbook" w:cs="Times New Roman"/>
          <w:b/>
        </w:rPr>
      </w:pPr>
      <w:r w:rsidRPr="00E53E52">
        <w:rPr>
          <w:rFonts w:ascii="Century Schoolbook" w:hAnsi="Century Schoolbook" w:cs="Times New Roman"/>
          <w:b/>
        </w:rPr>
        <w:lastRenderedPageBreak/>
        <w:t>p. 593, replace Figure 7.1 with new Figure 7.2:</w:t>
      </w:r>
    </w:p>
    <w:p w14:paraId="2A900824" w14:textId="17BF4122" w:rsidR="00397490" w:rsidRPr="00E53E52" w:rsidRDefault="00397490" w:rsidP="00397490">
      <w:pPr>
        <w:pStyle w:val="WTCB"/>
        <w:keepNext/>
        <w:spacing w:after="0" w:line="276" w:lineRule="auto"/>
        <w:rPr>
          <w:sz w:val="22"/>
          <w:szCs w:val="22"/>
        </w:rPr>
      </w:pPr>
      <w:r w:rsidRPr="00E53E52">
        <w:rPr>
          <w:sz w:val="22"/>
          <w:szCs w:val="22"/>
        </w:rPr>
        <w:t xml:space="preserve">Figure </w:t>
      </w:r>
      <w:r w:rsidR="00C30069" w:rsidRPr="00E53E52">
        <w:rPr>
          <w:sz w:val="22"/>
          <w:szCs w:val="22"/>
        </w:rPr>
        <w:t>7.2</w:t>
      </w:r>
      <w:r w:rsidRPr="00E53E52">
        <w:rPr>
          <w:sz w:val="22"/>
          <w:szCs w:val="22"/>
        </w:rPr>
        <w:br/>
        <w:t xml:space="preserve">Convention Against Torture Cases </w:t>
      </w:r>
      <w:r w:rsidRPr="00E53E52">
        <w:rPr>
          <w:sz w:val="22"/>
          <w:szCs w:val="22"/>
        </w:rPr>
        <w:br/>
        <w:t>Grants of Withholding and Deferral of Removal, 2006–2017</w:t>
      </w:r>
    </w:p>
    <w:p w14:paraId="72950E90" w14:textId="77777777" w:rsidR="00397490" w:rsidRPr="00E53E52" w:rsidRDefault="00397490" w:rsidP="00397490">
      <w:pPr>
        <w:jc w:val="center"/>
        <w:rPr>
          <w:rFonts w:ascii="Century Schoolbook" w:hAnsi="Century Schoolbook"/>
          <w:sz w:val="16"/>
          <w:szCs w:val="16"/>
        </w:rPr>
      </w:pPr>
      <w:r w:rsidRPr="00E53E52">
        <w:rPr>
          <w:rFonts w:ascii="Century Schoolbook" w:hAnsi="Century Schoolbook"/>
          <w:noProof/>
          <w:sz w:val="16"/>
          <w:szCs w:val="16"/>
        </w:rPr>
        <w:drawing>
          <wp:inline distT="0" distB="0" distL="0" distR="0" wp14:anchorId="0B9C2C00" wp14:editId="0150A42A">
            <wp:extent cx="5486400" cy="32004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5B5CA113" w14:textId="77777777" w:rsidR="00397490" w:rsidRPr="00E53E52" w:rsidRDefault="00397490" w:rsidP="00397490">
      <w:pPr>
        <w:jc w:val="center"/>
        <w:rPr>
          <w:rFonts w:ascii="Century Schoolbook" w:hAnsi="Century Schoolbook"/>
          <w:sz w:val="18"/>
          <w:szCs w:val="18"/>
        </w:rPr>
      </w:pPr>
      <w:r w:rsidRPr="00E53E52">
        <w:rPr>
          <w:rFonts w:ascii="Century Schoolbook" w:hAnsi="Century Schoolbook"/>
          <w:sz w:val="18"/>
          <w:szCs w:val="18"/>
        </w:rPr>
        <w:t>Source: EOIR Statistical Yearbooks 2006-2017, Table 16.</w:t>
      </w:r>
    </w:p>
    <w:p w14:paraId="783BA69B" w14:textId="77777777" w:rsidR="009D23FB" w:rsidRPr="00E53E52" w:rsidRDefault="00E76E23" w:rsidP="001D1D6E">
      <w:pPr>
        <w:spacing w:after="120"/>
        <w:rPr>
          <w:rFonts w:ascii="Century Schoolbook" w:hAnsi="Century Schoolbook" w:cs="Times New Roman"/>
          <w:b/>
        </w:rPr>
      </w:pPr>
      <w:r w:rsidRPr="00E53E52">
        <w:rPr>
          <w:rFonts w:ascii="Century Schoolbook" w:hAnsi="Century Schoolbook" w:cs="Times New Roman"/>
          <w:b/>
        </w:rPr>
        <w:t>p. 594, at end of carryover paragraph</w:t>
      </w:r>
      <w:r w:rsidR="009D23FB" w:rsidRPr="00E53E52">
        <w:rPr>
          <w:rFonts w:ascii="Century Schoolbook" w:hAnsi="Century Schoolbook" w:cs="Times New Roman"/>
          <w:b/>
        </w:rPr>
        <w:t>:</w:t>
      </w:r>
    </w:p>
    <w:p w14:paraId="74696319" w14:textId="4932CABD" w:rsidR="00B334D5" w:rsidRPr="00E53E52" w:rsidRDefault="009D23FB" w:rsidP="006E4C5A">
      <w:pPr>
        <w:pStyle w:val="BodyText"/>
        <w:widowControl/>
        <w:spacing w:after="120"/>
        <w:ind w:firstLine="720"/>
        <w:rPr>
          <w:rFonts w:ascii="Century Schoolbook" w:hAnsi="Century Schoolbook" w:cs="Times New Roman"/>
        </w:rPr>
      </w:pPr>
      <w:r w:rsidRPr="00E53E52">
        <w:rPr>
          <w:rFonts w:ascii="Century Schoolbook" w:hAnsi="Century Schoolbook" w:cs="Times New Roman"/>
        </w:rPr>
        <w:t xml:space="preserve">replace the </w:t>
      </w:r>
      <w:r w:rsidR="00AA31B7" w:rsidRPr="00E53E52">
        <w:rPr>
          <w:rFonts w:ascii="Century Schoolbook" w:hAnsi="Century Schoolbook" w:cs="Times New Roman"/>
        </w:rPr>
        <w:t>final reference to</w:t>
      </w:r>
      <w:r w:rsidRPr="00E53E52">
        <w:rPr>
          <w:rFonts w:ascii="Century Schoolbook" w:hAnsi="Century Schoolbook" w:cs="Times New Roman"/>
        </w:rPr>
        <w:t xml:space="preserve"> </w:t>
      </w:r>
      <w:r w:rsidR="00C909C4" w:rsidRPr="00E53E52">
        <w:rPr>
          <w:rFonts w:ascii="Century Schoolbook" w:hAnsi="Century Schoolbook" w:cs="Times New Roman"/>
        </w:rPr>
        <w:t>“</w:t>
      </w:r>
      <w:r w:rsidRPr="00E53E52">
        <w:rPr>
          <w:rFonts w:ascii="Century Schoolbook" w:hAnsi="Century Schoolbook" w:cs="Times New Roman"/>
        </w:rPr>
        <w:t>2011</w:t>
      </w:r>
      <w:r w:rsidR="00C909C4" w:rsidRPr="00E53E52">
        <w:rPr>
          <w:rFonts w:ascii="Century Schoolbook" w:hAnsi="Century Schoolbook" w:cs="Times New Roman"/>
        </w:rPr>
        <w:t>”</w:t>
      </w:r>
      <w:r w:rsidRPr="00E53E52">
        <w:rPr>
          <w:rFonts w:ascii="Century Schoolbook" w:hAnsi="Century Schoolbook" w:cs="Times New Roman"/>
        </w:rPr>
        <w:t xml:space="preserve"> with </w:t>
      </w:r>
      <w:r w:rsidR="00C909C4" w:rsidRPr="00E53E52">
        <w:rPr>
          <w:rFonts w:ascii="Century Schoolbook" w:hAnsi="Century Schoolbook" w:cs="Times New Roman"/>
        </w:rPr>
        <w:t>“</w:t>
      </w:r>
      <w:r w:rsidRPr="00E53E52">
        <w:rPr>
          <w:rFonts w:ascii="Century Schoolbook" w:hAnsi="Century Schoolbook" w:cs="Times New Roman"/>
        </w:rPr>
        <w:t>2016.</w:t>
      </w:r>
      <w:r w:rsidR="00C909C4" w:rsidRPr="00E53E52">
        <w:rPr>
          <w:rFonts w:ascii="Century Schoolbook" w:hAnsi="Century Schoolbook" w:cs="Times New Roman"/>
        </w:rPr>
        <w:t>”</w:t>
      </w:r>
      <w:r w:rsidRPr="00E53E52">
        <w:rPr>
          <w:rFonts w:ascii="Century Schoolbook" w:hAnsi="Century Schoolbook" w:cs="Times New Roman"/>
        </w:rPr>
        <w:t xml:space="preserve"> </w:t>
      </w:r>
    </w:p>
    <w:p w14:paraId="636F4B27" w14:textId="6ABB49ED" w:rsidR="00327861" w:rsidRPr="00E53E52" w:rsidRDefault="0003112D" w:rsidP="001D1D6E">
      <w:pPr>
        <w:spacing w:after="120"/>
        <w:rPr>
          <w:rFonts w:ascii="Century Schoolbook" w:hAnsi="Century Schoolbook" w:cs="Times New Roman"/>
          <w:b/>
        </w:rPr>
      </w:pPr>
      <w:r w:rsidRPr="00E53E52">
        <w:rPr>
          <w:rFonts w:ascii="Century Schoolbook" w:hAnsi="Century Schoolbook" w:cs="Times New Roman"/>
          <w:b/>
        </w:rPr>
        <w:t xml:space="preserve">p. </w:t>
      </w:r>
      <w:r w:rsidR="00327861" w:rsidRPr="00E53E52">
        <w:rPr>
          <w:rFonts w:ascii="Century Schoolbook" w:hAnsi="Century Schoolbook" w:cs="Times New Roman"/>
          <w:b/>
        </w:rPr>
        <w:t xml:space="preserve">606, </w:t>
      </w:r>
      <w:r w:rsidR="008374CF" w:rsidRPr="00E53E52">
        <w:rPr>
          <w:rFonts w:ascii="Century Schoolbook" w:hAnsi="Century Schoolbook" w:cs="Times New Roman"/>
          <w:b/>
        </w:rPr>
        <w:t xml:space="preserve">at end of current Notes, </w:t>
      </w:r>
      <w:r w:rsidR="00327861" w:rsidRPr="00E53E52">
        <w:rPr>
          <w:rFonts w:ascii="Century Schoolbook" w:hAnsi="Century Schoolbook" w:cs="Times New Roman"/>
          <w:b/>
        </w:rPr>
        <w:t xml:space="preserve">add </w:t>
      </w:r>
      <w:r w:rsidR="00C13CE9" w:rsidRPr="00E53E52">
        <w:rPr>
          <w:rFonts w:ascii="Century Schoolbook" w:hAnsi="Century Schoolbook" w:cs="Times New Roman"/>
          <w:b/>
        </w:rPr>
        <w:t xml:space="preserve">new </w:t>
      </w:r>
      <w:r w:rsidR="00327861" w:rsidRPr="00E53E52">
        <w:rPr>
          <w:rFonts w:ascii="Century Schoolbook" w:hAnsi="Century Schoolbook" w:cs="Times New Roman"/>
          <w:b/>
        </w:rPr>
        <w:t>Note 4:</w:t>
      </w:r>
    </w:p>
    <w:p w14:paraId="3FA303BD" w14:textId="6F4A78BE" w:rsidR="00327861" w:rsidRPr="00E53E52" w:rsidRDefault="008374CF" w:rsidP="0036367F">
      <w:pPr>
        <w:pStyle w:val="BodyText"/>
        <w:widowControl/>
        <w:spacing w:after="120"/>
        <w:ind w:firstLine="720"/>
        <w:rPr>
          <w:rFonts w:ascii="Century Schoolbook" w:hAnsi="Century Schoolbook" w:cs="Times New Roman"/>
        </w:rPr>
      </w:pPr>
      <w:r w:rsidRPr="00E53E52">
        <w:rPr>
          <w:rFonts w:ascii="Century Schoolbook" w:hAnsi="Century Schoolbook" w:cs="Times New Roman"/>
        </w:rPr>
        <w:t>4</w:t>
      </w:r>
      <w:r w:rsidR="00027B0C" w:rsidRPr="00E53E52">
        <w:rPr>
          <w:rFonts w:ascii="Century Schoolbook" w:hAnsi="Century Schoolbook" w:cs="Times New Roman"/>
        </w:rPr>
        <w:t xml:space="preserve">. </w:t>
      </w:r>
      <w:r w:rsidR="00327861" w:rsidRPr="00E53E52">
        <w:rPr>
          <w:rFonts w:ascii="Century Schoolbook" w:hAnsi="Century Schoolbook" w:cs="Times New Roman"/>
        </w:rPr>
        <w:t xml:space="preserve">The Fifth Circuit overturned the denial of CAT protection to an El Salvadoran beaten and threatened at gunpoint by men in police uniforms in </w:t>
      </w:r>
      <w:r w:rsidR="00327861" w:rsidRPr="00E53E52">
        <w:rPr>
          <w:rFonts w:ascii="Century Schoolbook" w:hAnsi="Century Schoolbook" w:cs="Times New Roman"/>
          <w:i/>
        </w:rPr>
        <w:t>Garcia v. Holder</w:t>
      </w:r>
      <w:r w:rsidR="00327861" w:rsidRPr="00E53E52">
        <w:rPr>
          <w:rFonts w:ascii="Century Schoolbook" w:hAnsi="Century Schoolbook" w:cs="Times New Roman"/>
        </w:rPr>
        <w:t>,</w:t>
      </w:r>
      <w:r w:rsidR="00AB4DCF" w:rsidRPr="00E53E52">
        <w:rPr>
          <w:rFonts w:ascii="Century Schoolbook" w:hAnsi="Century Schoolbook" w:cs="Times New Roman"/>
        </w:rPr>
        <w:t>756</w:t>
      </w:r>
      <w:r w:rsidR="0086139F" w:rsidRPr="00E53E52">
        <w:rPr>
          <w:rFonts w:ascii="Century Schoolbook" w:hAnsi="Century Schoolbook"/>
        </w:rPr>
        <w:t xml:space="preserve"> F.3d </w:t>
      </w:r>
      <w:r w:rsidR="007A772B" w:rsidRPr="00E53E52">
        <w:rPr>
          <w:rFonts w:ascii="Century Schoolbook" w:hAnsi="Century Schoolbook"/>
        </w:rPr>
        <w:t xml:space="preserve">885 </w:t>
      </w:r>
      <w:r w:rsidR="0086139F" w:rsidRPr="00E53E52">
        <w:rPr>
          <w:rFonts w:ascii="Century Schoolbook" w:hAnsi="Century Schoolbook"/>
        </w:rPr>
        <w:t>(5th Cir. 2014)</w:t>
      </w:r>
      <w:r w:rsidR="00327861" w:rsidRPr="00E53E52">
        <w:rPr>
          <w:rFonts w:ascii="Century Schoolbook" w:hAnsi="Century Schoolbook" w:cs="Times New Roman"/>
        </w:rPr>
        <w:t>, though the applicant said he could not tell if they were police officers or criminals who had stolen police uniforms</w:t>
      </w:r>
      <w:r w:rsidR="00027B0C" w:rsidRPr="00E53E52">
        <w:rPr>
          <w:rFonts w:ascii="Century Schoolbook" w:hAnsi="Century Schoolbook" w:cs="Times New Roman"/>
        </w:rPr>
        <w:t xml:space="preserve">. </w:t>
      </w:r>
      <w:r w:rsidR="00327861" w:rsidRPr="00E53E52">
        <w:rPr>
          <w:rFonts w:ascii="Century Schoolbook" w:hAnsi="Century Schoolbook" w:cs="Times New Roman"/>
        </w:rPr>
        <w:t>Even if the assailants were only low-level policemen or were private citizens, the court concluded that there was evidence of government acquiescence</w:t>
      </w:r>
      <w:r w:rsidR="00027B0C" w:rsidRPr="00E53E52">
        <w:rPr>
          <w:rFonts w:ascii="Century Schoolbook" w:hAnsi="Century Schoolbook" w:cs="Times New Roman"/>
        </w:rPr>
        <w:t xml:space="preserve">. </w:t>
      </w:r>
      <w:r w:rsidR="00327861" w:rsidRPr="00E53E52">
        <w:rPr>
          <w:rFonts w:ascii="Century Schoolbook" w:hAnsi="Century Schoolbook" w:cs="Times New Roman"/>
        </w:rPr>
        <w:t xml:space="preserve">The applicants had provided information to public officials and a short time later the assailants appeared to act pursuant to that information; the court ruled that this indicated the beatings and extortion had occurred </w:t>
      </w:r>
      <w:r w:rsidR="00C909C4" w:rsidRPr="00E53E52">
        <w:rPr>
          <w:rFonts w:ascii="Century Schoolbook" w:hAnsi="Century Schoolbook" w:cs="Times New Roman"/>
        </w:rPr>
        <w:t>“</w:t>
      </w:r>
      <w:r w:rsidR="00327861" w:rsidRPr="00E53E52">
        <w:rPr>
          <w:rFonts w:ascii="Century Schoolbook" w:hAnsi="Century Schoolbook" w:cs="Times New Roman"/>
        </w:rPr>
        <w:t>under color of law</w:t>
      </w:r>
      <w:r w:rsidR="007E3C1C" w:rsidRPr="00E53E52">
        <w:rPr>
          <w:rFonts w:ascii="Century Schoolbook" w:hAnsi="Century Schoolbook" w:cs="Times New Roman"/>
        </w:rPr>
        <w:t>.</w:t>
      </w:r>
      <w:r w:rsidR="00C909C4" w:rsidRPr="00E53E52">
        <w:rPr>
          <w:rFonts w:ascii="Century Schoolbook" w:hAnsi="Century Schoolbook" w:cs="Times New Roman"/>
        </w:rPr>
        <w:t>”</w:t>
      </w:r>
      <w:r w:rsidR="007E3C1C" w:rsidRPr="00E53E52">
        <w:rPr>
          <w:rFonts w:ascii="Century Schoolbook" w:hAnsi="Century Schoolbook" w:cs="Times New Roman"/>
        </w:rPr>
        <w:t xml:space="preserve"> </w:t>
      </w:r>
    </w:p>
    <w:p w14:paraId="3B82EBC9" w14:textId="77777777" w:rsidR="002B7802" w:rsidRPr="00E53E52" w:rsidRDefault="006C7D53" w:rsidP="001D1D6E">
      <w:pPr>
        <w:spacing w:after="120"/>
        <w:rPr>
          <w:rFonts w:ascii="Century Schoolbook" w:hAnsi="Century Schoolbook" w:cs="Times New Roman"/>
          <w:b/>
        </w:rPr>
      </w:pPr>
      <w:r w:rsidRPr="00E53E52">
        <w:rPr>
          <w:rFonts w:ascii="Century Schoolbook" w:hAnsi="Century Schoolbook" w:cs="Times New Roman"/>
          <w:b/>
        </w:rPr>
        <w:t xml:space="preserve">p. </w:t>
      </w:r>
      <w:r w:rsidR="002B7802" w:rsidRPr="00E53E52">
        <w:rPr>
          <w:rFonts w:ascii="Century Schoolbook" w:hAnsi="Century Schoolbook" w:cs="Times New Roman"/>
          <w:b/>
        </w:rPr>
        <w:t>61</w:t>
      </w:r>
      <w:r w:rsidRPr="00E53E52">
        <w:rPr>
          <w:rFonts w:ascii="Century Schoolbook" w:hAnsi="Century Schoolbook" w:cs="Times New Roman"/>
          <w:b/>
        </w:rPr>
        <w:t xml:space="preserve">6, at end of current Notes, add new Note </w:t>
      </w:r>
      <w:r w:rsidR="002B7802" w:rsidRPr="00E53E52">
        <w:rPr>
          <w:rFonts w:ascii="Century Schoolbook" w:hAnsi="Century Schoolbook" w:cs="Times New Roman"/>
          <w:b/>
        </w:rPr>
        <w:t>3:</w:t>
      </w:r>
    </w:p>
    <w:p w14:paraId="17AD329E" w14:textId="73CA1713" w:rsidR="001D1D6E" w:rsidRPr="00E53E52" w:rsidRDefault="004D1A48" w:rsidP="001D1D6E">
      <w:pPr>
        <w:spacing w:after="120"/>
        <w:ind w:firstLine="720"/>
        <w:jc w:val="both"/>
        <w:rPr>
          <w:rFonts w:ascii="Century Schoolbook" w:hAnsi="Century Schoolbook" w:cs="Times New Roman"/>
        </w:rPr>
      </w:pPr>
      <w:r w:rsidRPr="00E53E52">
        <w:rPr>
          <w:rFonts w:ascii="Century Schoolbook" w:hAnsi="Century Schoolbook" w:cs="Times New Roman"/>
        </w:rPr>
        <w:t>3. Courts continue to adjudicate claims for CAT protection in removal proceedings of noncitizens convicted of crimes in the United States who will likely face lengthy or indefinite detention in deplorable prison condition in their homelands.</w:t>
      </w:r>
      <w:r w:rsidR="00810FDA" w:rsidRPr="00E53E52">
        <w:rPr>
          <w:rFonts w:ascii="Century Schoolbook" w:hAnsi="Century Schoolbook" w:cs="Times New Roman"/>
        </w:rPr>
        <w:t xml:space="preserve"> </w:t>
      </w:r>
      <w:r w:rsidRPr="00E53E52">
        <w:rPr>
          <w:rFonts w:ascii="Century Schoolbook" w:hAnsi="Century Schoolbook" w:cs="Times New Roman"/>
          <w:i/>
        </w:rPr>
        <w:t>See Mervil v. Lynch</w:t>
      </w:r>
      <w:r w:rsidRPr="00E53E52">
        <w:rPr>
          <w:rFonts w:ascii="Century Schoolbook" w:hAnsi="Century Schoolbook" w:cs="Times New Roman"/>
        </w:rPr>
        <w:t xml:space="preserve">, 813 F. 3d 1108 (8th Cir. 2016) (no specific intent to inflict pain or suffering by incarcerating individuals in appalling prisons conditions in Haiti); </w:t>
      </w:r>
      <w:r w:rsidRPr="00E53E52">
        <w:rPr>
          <w:rFonts w:ascii="Century Schoolbook" w:hAnsi="Century Schoolbook" w:cs="Times New Roman"/>
          <w:i/>
        </w:rPr>
        <w:t>Oxygene v. Lynch</w:t>
      </w:r>
      <w:r w:rsidRPr="00E53E52">
        <w:rPr>
          <w:rFonts w:ascii="Century Schoolbook" w:hAnsi="Century Schoolbook" w:cs="Times New Roman"/>
        </w:rPr>
        <w:t xml:space="preserve">, 813 F. 3d 541 (4th Cir. 2016) </w:t>
      </w:r>
      <w:r w:rsidRPr="00E53E52">
        <w:rPr>
          <w:rFonts w:ascii="Century Schoolbook" w:hAnsi="Century Schoolbook" w:cs="Times New Roman"/>
        </w:rPr>
        <w:lastRenderedPageBreak/>
        <w:t>(despite evidence of widespread severe pain and suffering in Haitian prisons, evidence does not support inference of officials</w:t>
      </w:r>
      <w:r w:rsidR="00C909C4" w:rsidRPr="00E53E52">
        <w:rPr>
          <w:rFonts w:ascii="Century Schoolbook" w:hAnsi="Century Schoolbook" w:cs="Times New Roman"/>
        </w:rPr>
        <w:t>’</w:t>
      </w:r>
      <w:r w:rsidRPr="00E53E52">
        <w:rPr>
          <w:rFonts w:ascii="Century Schoolbook" w:hAnsi="Century Schoolbook" w:cs="Times New Roman"/>
        </w:rPr>
        <w:t xml:space="preserve"> intent to cause pain); </w:t>
      </w:r>
      <w:r w:rsidRPr="00E53E52">
        <w:rPr>
          <w:rFonts w:ascii="Century Schoolbook" w:hAnsi="Century Schoolbook" w:cs="Times New Roman"/>
          <w:i/>
        </w:rPr>
        <w:t>but see Ridore v. Holder</w:t>
      </w:r>
      <w:r w:rsidRPr="00E53E52">
        <w:rPr>
          <w:rFonts w:ascii="Century Schoolbook" w:hAnsi="Century Schoolbook" w:cs="Times New Roman"/>
        </w:rPr>
        <w:t>, 696 F. 3d 907 (9th Cir. 2012) (evidence supports inference that government officials intended to subject prisoners to cruel, abusive treatment that constitutes torture).</w:t>
      </w:r>
      <w:r w:rsidR="00810FDA" w:rsidRPr="00E53E52">
        <w:rPr>
          <w:rFonts w:ascii="Century Schoolbook" w:hAnsi="Century Schoolbook" w:cs="Times New Roman"/>
        </w:rPr>
        <w:t xml:space="preserve"> </w:t>
      </w:r>
      <w:r w:rsidRPr="00E53E52">
        <w:rPr>
          <w:rFonts w:ascii="Century Schoolbook" w:hAnsi="Century Schoolbook" w:cs="Times New Roman"/>
        </w:rPr>
        <w:t xml:space="preserve">For a catalog of recent opinion involving CAT claims, </w:t>
      </w:r>
      <w:r w:rsidRPr="00E53E52">
        <w:rPr>
          <w:rFonts w:ascii="Century Schoolbook" w:hAnsi="Century Schoolbook" w:cs="Times New Roman"/>
          <w:i/>
        </w:rPr>
        <w:t>see</w:t>
      </w:r>
      <w:r w:rsidRPr="00E53E52">
        <w:rPr>
          <w:rFonts w:ascii="Century Schoolbook" w:hAnsi="Century Schoolbook" w:cs="Times New Roman"/>
        </w:rPr>
        <w:t xml:space="preserve"> Gerald Seipp, </w:t>
      </w:r>
      <w:r w:rsidRPr="00E53E52">
        <w:rPr>
          <w:rFonts w:ascii="Century Schoolbook" w:hAnsi="Century Schoolbook" w:cs="Times New Roman"/>
          <w:i/>
        </w:rPr>
        <w:t>A Year in Review—Increasing Emphasis on Families and Children and Torture Convention Claims</w:t>
      </w:r>
      <w:r w:rsidRPr="00E53E52">
        <w:rPr>
          <w:rFonts w:ascii="Century Schoolbook" w:hAnsi="Century Schoolbook" w:cs="Times New Roman"/>
        </w:rPr>
        <w:t>, 93 Interp. Releases 1 (2016).</w:t>
      </w:r>
    </w:p>
    <w:p w14:paraId="23F3AA1D" w14:textId="7935954A" w:rsidR="00483222" w:rsidRPr="00E53E52" w:rsidRDefault="00483222" w:rsidP="001D1D6E">
      <w:pPr>
        <w:spacing w:after="120"/>
        <w:ind w:firstLine="720"/>
        <w:jc w:val="both"/>
        <w:rPr>
          <w:rFonts w:ascii="Century Schoolbook" w:hAnsi="Century Schoolbook"/>
          <w:b/>
        </w:rPr>
      </w:pPr>
      <w:r w:rsidRPr="00E53E52">
        <w:rPr>
          <w:rFonts w:ascii="Century Schoolbook" w:hAnsi="Century Schoolbook"/>
          <w:b/>
        </w:rPr>
        <w:br w:type="page"/>
      </w:r>
    </w:p>
    <w:p w14:paraId="55D1D368" w14:textId="77777777" w:rsidR="00D777B5" w:rsidRPr="00E53E52" w:rsidRDefault="00D777B5" w:rsidP="001D1D6E">
      <w:pPr>
        <w:spacing w:after="120"/>
        <w:rPr>
          <w:rFonts w:ascii="Century Schoolbook" w:hAnsi="Century Schoolbook"/>
          <w:b/>
        </w:rPr>
      </w:pPr>
    </w:p>
    <w:p w14:paraId="6DA81173" w14:textId="77777777" w:rsidR="00D777B5" w:rsidRPr="00E53E52" w:rsidRDefault="00D777B5" w:rsidP="001D1D6E">
      <w:pPr>
        <w:spacing w:after="120"/>
        <w:jc w:val="center"/>
        <w:outlineLvl w:val="0"/>
        <w:rPr>
          <w:rFonts w:ascii="Century Schoolbook" w:hAnsi="Century Schoolbook"/>
          <w:b/>
          <w:caps/>
        </w:rPr>
      </w:pPr>
      <w:r w:rsidRPr="00E53E52">
        <w:rPr>
          <w:rFonts w:ascii="Century Schoolbook" w:hAnsi="Century Schoolbook"/>
          <w:b/>
          <w:caps/>
        </w:rPr>
        <w:t>Chapter eight</w:t>
      </w:r>
    </w:p>
    <w:p w14:paraId="63B24C5B" w14:textId="77777777" w:rsidR="00D777B5" w:rsidRPr="00E53E52" w:rsidRDefault="00D777B5" w:rsidP="001D1D6E">
      <w:pPr>
        <w:spacing w:after="120"/>
        <w:jc w:val="center"/>
        <w:rPr>
          <w:rFonts w:ascii="Century Schoolbook" w:hAnsi="Century Schoolbook"/>
          <w:b/>
          <w:caps/>
        </w:rPr>
      </w:pPr>
      <w:r w:rsidRPr="00E53E52">
        <w:rPr>
          <w:rFonts w:ascii="Century Schoolbook" w:hAnsi="Century Schoolbook"/>
          <w:b/>
          <w:caps/>
        </w:rPr>
        <w:t>the factfinding challenge</w:t>
      </w:r>
    </w:p>
    <w:p w14:paraId="4A282855" w14:textId="77777777" w:rsidR="00D777B5" w:rsidRPr="00E53E52" w:rsidRDefault="00D777B5" w:rsidP="001D1D6E">
      <w:pPr>
        <w:spacing w:after="120"/>
        <w:jc w:val="both"/>
        <w:rPr>
          <w:rFonts w:ascii="Century Schoolbook" w:hAnsi="Century Schoolbook" w:cs="Times New Roman"/>
          <w:b/>
        </w:rPr>
      </w:pPr>
      <w:r w:rsidRPr="00E53E52">
        <w:rPr>
          <w:rFonts w:ascii="Century Schoolbook" w:hAnsi="Century Schoolbook" w:cs="Times New Roman"/>
          <w:b/>
        </w:rPr>
        <w:t xml:space="preserve">p. </w:t>
      </w:r>
      <w:r w:rsidR="00F96D9A" w:rsidRPr="00E53E52">
        <w:rPr>
          <w:rFonts w:ascii="Century Schoolbook" w:hAnsi="Century Schoolbook" w:cs="Times New Roman"/>
          <w:b/>
        </w:rPr>
        <w:t>731</w:t>
      </w:r>
      <w:r w:rsidRPr="00E53E52">
        <w:rPr>
          <w:rFonts w:ascii="Century Schoolbook" w:hAnsi="Century Schoolbook" w:cs="Times New Roman"/>
          <w:b/>
        </w:rPr>
        <w:t xml:space="preserve">, </w:t>
      </w:r>
      <w:r w:rsidR="008374CF" w:rsidRPr="00E53E52">
        <w:rPr>
          <w:rFonts w:ascii="Century Schoolbook" w:hAnsi="Century Schoolbook" w:cs="Times New Roman"/>
          <w:b/>
        </w:rPr>
        <w:t xml:space="preserve">at end of current Notes, </w:t>
      </w:r>
      <w:r w:rsidRPr="00E53E52">
        <w:rPr>
          <w:rFonts w:ascii="Century Schoolbook" w:hAnsi="Century Schoolbook" w:cs="Times New Roman"/>
          <w:b/>
        </w:rPr>
        <w:t xml:space="preserve">add new Note </w:t>
      </w:r>
      <w:r w:rsidR="00F96D9A" w:rsidRPr="00E53E52">
        <w:rPr>
          <w:rFonts w:ascii="Century Schoolbook" w:hAnsi="Century Schoolbook" w:cs="Times New Roman"/>
          <w:b/>
        </w:rPr>
        <w:t>8</w:t>
      </w:r>
      <w:r w:rsidRPr="00E53E52">
        <w:rPr>
          <w:rFonts w:ascii="Century Schoolbook" w:hAnsi="Century Schoolbook" w:cs="Times New Roman"/>
          <w:b/>
        </w:rPr>
        <w:t>:</w:t>
      </w:r>
    </w:p>
    <w:p w14:paraId="01A02697" w14:textId="5A3BC1D7" w:rsidR="00D86BFC" w:rsidRPr="00E53E52" w:rsidRDefault="00F96D9A" w:rsidP="001D1D6E">
      <w:pPr>
        <w:pStyle w:val="BodyText"/>
        <w:widowControl/>
        <w:spacing w:after="120"/>
        <w:ind w:firstLine="720"/>
        <w:rPr>
          <w:rFonts w:ascii="Century Schoolbook" w:hAnsi="Century Schoolbook" w:cs="Times New Roman"/>
        </w:rPr>
      </w:pPr>
      <w:r w:rsidRPr="00E53E52">
        <w:rPr>
          <w:rFonts w:ascii="Century Schoolbook" w:hAnsi="Century Schoolbook" w:cs="Times New Roman"/>
        </w:rPr>
        <w:t>8</w:t>
      </w:r>
      <w:r w:rsidR="00027B0C" w:rsidRPr="00E53E52">
        <w:rPr>
          <w:rFonts w:ascii="Century Schoolbook" w:hAnsi="Century Schoolbook" w:cs="Times New Roman"/>
        </w:rPr>
        <w:t xml:space="preserve">. </w:t>
      </w:r>
      <w:r w:rsidRPr="00E53E52">
        <w:rPr>
          <w:rFonts w:ascii="Century Schoolbook" w:hAnsi="Century Schoolbook" w:cs="Times New Roman"/>
        </w:rPr>
        <w:t>UNHCR undertook a research study comparing credibility assessment in the asylum systems in Belgium, the Netherlands, and the United Kingdom and reported that there were significant variations in approaches to determining credibility in all three countries. In particular, there were differences in the circumstances in which the asylum seeker would be given the benefit of the doubt</w:t>
      </w:r>
      <w:r w:rsidR="00027B0C" w:rsidRPr="00E53E52">
        <w:rPr>
          <w:rFonts w:ascii="Century Schoolbook" w:hAnsi="Century Schoolbook" w:cs="Times New Roman"/>
        </w:rPr>
        <w:t xml:space="preserve">. </w:t>
      </w:r>
      <w:r w:rsidRPr="00E53E52">
        <w:rPr>
          <w:rFonts w:ascii="Century Schoolbook" w:hAnsi="Century Schoolbook" w:cs="Times New Roman"/>
        </w:rPr>
        <w:t xml:space="preserve">The authors criticized the extent to which decisions on credibility rely on an </w:t>
      </w:r>
      <w:r w:rsidR="00C909C4" w:rsidRPr="00E53E52">
        <w:rPr>
          <w:rFonts w:ascii="Century Schoolbook" w:hAnsi="Century Schoolbook" w:cs="Times New Roman"/>
        </w:rPr>
        <w:t>“</w:t>
      </w:r>
      <w:r w:rsidRPr="00E53E52">
        <w:rPr>
          <w:rFonts w:ascii="Century Schoolbook" w:hAnsi="Century Schoolbook" w:cs="Times New Roman"/>
        </w:rPr>
        <w:t>individual decision-maker</w:t>
      </w:r>
      <w:r w:rsidR="00C909C4" w:rsidRPr="00E53E52">
        <w:rPr>
          <w:rFonts w:ascii="Century Schoolbook" w:hAnsi="Century Schoolbook" w:cs="Times New Roman"/>
        </w:rPr>
        <w:t>’</w:t>
      </w:r>
      <w:r w:rsidRPr="00E53E52">
        <w:rPr>
          <w:rFonts w:ascii="Century Schoolbook" w:hAnsi="Century Schoolbook" w:cs="Times New Roman"/>
        </w:rPr>
        <w:t>s subjective approach, assumptions, impressions and intuition</w:t>
      </w:r>
      <w:r w:rsidR="00C909C4" w:rsidRPr="00E53E52">
        <w:rPr>
          <w:rFonts w:ascii="Century Schoolbook" w:hAnsi="Century Schoolbook" w:cs="Times New Roman"/>
        </w:rPr>
        <w:t>”</w:t>
      </w:r>
      <w:r w:rsidRPr="00E53E52">
        <w:rPr>
          <w:rFonts w:ascii="Century Schoolbook" w:hAnsi="Century Schoolbook" w:cs="Times New Roman"/>
        </w:rPr>
        <w:t xml:space="preserve"> and called for </w:t>
      </w:r>
      <w:r w:rsidR="00C909C4" w:rsidRPr="00E53E52">
        <w:rPr>
          <w:rFonts w:ascii="Century Schoolbook" w:hAnsi="Century Schoolbook" w:cs="Times New Roman"/>
        </w:rPr>
        <w:t>“</w:t>
      </w:r>
      <w:r w:rsidRPr="00E53E52">
        <w:rPr>
          <w:rFonts w:ascii="Century Schoolbook" w:hAnsi="Century Schoolbook" w:cs="Times New Roman"/>
        </w:rPr>
        <w:t>transparent and principled approaches</w:t>
      </w:r>
      <w:r w:rsidR="00C909C4" w:rsidRPr="00E53E52">
        <w:rPr>
          <w:rFonts w:ascii="Century Schoolbook" w:hAnsi="Century Schoolbook" w:cs="Times New Roman"/>
        </w:rPr>
        <w:t>”</w:t>
      </w:r>
      <w:r w:rsidRPr="00E53E52">
        <w:rPr>
          <w:rFonts w:ascii="Century Schoolbook" w:hAnsi="Century Schoolbook" w:cs="Times New Roman"/>
        </w:rPr>
        <w:t xml:space="preserve"> based on </w:t>
      </w:r>
      <w:r w:rsidR="00C909C4" w:rsidRPr="00E53E52">
        <w:rPr>
          <w:rFonts w:ascii="Century Schoolbook" w:hAnsi="Century Schoolbook" w:cs="Times New Roman"/>
        </w:rPr>
        <w:t>“</w:t>
      </w:r>
      <w:r w:rsidRPr="00E53E52">
        <w:rPr>
          <w:rFonts w:ascii="Century Schoolbook" w:hAnsi="Century Schoolbook" w:cs="Times New Roman"/>
        </w:rPr>
        <w:t>law and good practice</w:t>
      </w:r>
      <w:r w:rsidR="007E3C1C" w:rsidRPr="00E53E52">
        <w:rPr>
          <w:rFonts w:ascii="Century Schoolbook" w:hAnsi="Century Schoolbook" w:cs="Times New Roman"/>
        </w:rPr>
        <w:t>.</w:t>
      </w:r>
      <w:r w:rsidR="00C909C4" w:rsidRPr="00E53E52">
        <w:rPr>
          <w:rFonts w:ascii="Century Schoolbook" w:hAnsi="Century Schoolbook" w:cs="Times New Roman"/>
        </w:rPr>
        <w:t>”</w:t>
      </w:r>
      <w:r w:rsidR="007E3C1C" w:rsidRPr="00E53E52">
        <w:rPr>
          <w:rFonts w:ascii="Century Schoolbook" w:hAnsi="Century Schoolbook" w:cs="Times New Roman"/>
        </w:rPr>
        <w:t xml:space="preserve"> </w:t>
      </w:r>
      <w:r w:rsidR="00D86BFC" w:rsidRPr="00E53E52">
        <w:rPr>
          <w:rFonts w:ascii="Century Schoolbook" w:hAnsi="Century Schoolbook" w:cs="Times New Roman"/>
        </w:rPr>
        <w:t xml:space="preserve">UNHCR, </w:t>
      </w:r>
      <w:r w:rsidR="00D86BFC" w:rsidRPr="00E53E52">
        <w:rPr>
          <w:rFonts w:ascii="Century Schoolbook" w:hAnsi="Century Schoolbook" w:cs="Times New Roman"/>
          <w:i/>
        </w:rPr>
        <w:t xml:space="preserve">Beyond Proof: Credibility Assessment in EU Asylum Systems </w:t>
      </w:r>
      <w:r w:rsidR="00D86BFC" w:rsidRPr="00E53E52">
        <w:rPr>
          <w:rFonts w:ascii="Century Schoolbook" w:hAnsi="Century Schoolbook" w:cs="Times New Roman"/>
        </w:rPr>
        <w:t>(May 2013), 250, 251, http://refworld.org/docid/519b1fb54.html</w:t>
      </w:r>
      <w:r w:rsidR="00027B0C" w:rsidRPr="00E53E52">
        <w:rPr>
          <w:rFonts w:ascii="Century Schoolbook" w:hAnsi="Century Schoolbook" w:cs="Times New Roman"/>
        </w:rPr>
        <w:t xml:space="preserve">. </w:t>
      </w:r>
    </w:p>
    <w:p w14:paraId="77F51CEF" w14:textId="77777777" w:rsidR="00116FF7" w:rsidRPr="00E53E52" w:rsidRDefault="00116FF7" w:rsidP="001D1D6E">
      <w:pPr>
        <w:spacing w:after="120"/>
        <w:rPr>
          <w:rFonts w:ascii="Century Schoolbook" w:hAnsi="Century Schoolbook"/>
          <w:b/>
        </w:rPr>
      </w:pPr>
      <w:r w:rsidRPr="00E53E52">
        <w:rPr>
          <w:rFonts w:ascii="Century Schoolbook" w:hAnsi="Century Schoolbook"/>
          <w:b/>
        </w:rPr>
        <w:br w:type="page"/>
      </w:r>
    </w:p>
    <w:p w14:paraId="1163F1DE" w14:textId="77777777" w:rsidR="000A5237" w:rsidRPr="00E53E52" w:rsidRDefault="000A5237" w:rsidP="001D1D6E">
      <w:pPr>
        <w:spacing w:after="120"/>
        <w:rPr>
          <w:rFonts w:ascii="Century Schoolbook" w:hAnsi="Century Schoolbook"/>
          <w:b/>
        </w:rPr>
      </w:pPr>
    </w:p>
    <w:p w14:paraId="42428606" w14:textId="77777777" w:rsidR="003F248C" w:rsidRPr="00E53E52" w:rsidRDefault="003F248C" w:rsidP="001D1D6E">
      <w:pPr>
        <w:spacing w:after="120"/>
        <w:jc w:val="center"/>
        <w:outlineLvl w:val="0"/>
        <w:rPr>
          <w:rFonts w:ascii="Century Schoolbook" w:hAnsi="Century Schoolbook"/>
          <w:b/>
        </w:rPr>
      </w:pPr>
      <w:r w:rsidRPr="00E53E52">
        <w:rPr>
          <w:rFonts w:ascii="Century Schoolbook" w:hAnsi="Century Schoolbook"/>
          <w:b/>
        </w:rPr>
        <w:t xml:space="preserve">CHAPTER </w:t>
      </w:r>
      <w:r w:rsidR="00367700" w:rsidRPr="00E53E52">
        <w:rPr>
          <w:rFonts w:ascii="Century Schoolbook" w:hAnsi="Century Schoolbook"/>
          <w:b/>
        </w:rPr>
        <w:t>NINE</w:t>
      </w:r>
    </w:p>
    <w:p w14:paraId="1684A9B1" w14:textId="005E3EEB" w:rsidR="00FE7614" w:rsidRPr="00E53E52" w:rsidRDefault="00367700" w:rsidP="001D1D6E">
      <w:pPr>
        <w:spacing w:after="120"/>
        <w:jc w:val="center"/>
        <w:rPr>
          <w:rFonts w:ascii="Century Schoolbook" w:hAnsi="Century Schoolbook"/>
          <w:b/>
        </w:rPr>
      </w:pPr>
      <w:r w:rsidRPr="00E53E52">
        <w:rPr>
          <w:rFonts w:ascii="Century Schoolbook" w:hAnsi="Century Schoolbook"/>
          <w:b/>
        </w:rPr>
        <w:t xml:space="preserve">DETENTION, DETERRENCE, AND </w:t>
      </w:r>
      <w:r w:rsidR="00261DF0" w:rsidRPr="00E53E52">
        <w:rPr>
          <w:rFonts w:ascii="Century Schoolbook" w:hAnsi="Century Schoolbook"/>
          <w:b/>
        </w:rPr>
        <w:br/>
      </w:r>
      <w:r w:rsidRPr="00E53E52">
        <w:rPr>
          <w:rFonts w:ascii="Century Schoolbook" w:hAnsi="Century Schoolbook"/>
          <w:b/>
        </w:rPr>
        <w:t>RESTRICTIONS ON ACCESS TO THE ASYLUM PROCEDURE</w:t>
      </w:r>
    </w:p>
    <w:p w14:paraId="7FBCF63F" w14:textId="73838690" w:rsidR="00367700" w:rsidRPr="00E53E52" w:rsidRDefault="00367700" w:rsidP="001D1D6E">
      <w:pPr>
        <w:spacing w:after="120"/>
        <w:rPr>
          <w:rFonts w:ascii="Century Schoolbook" w:hAnsi="Century Schoolbook"/>
          <w:b/>
        </w:rPr>
      </w:pPr>
      <w:r w:rsidRPr="00E53E52">
        <w:rPr>
          <w:rFonts w:ascii="Century Schoolbook" w:hAnsi="Century Schoolbook"/>
          <w:b/>
        </w:rPr>
        <w:t>p. 832, after last paragraph, add:</w:t>
      </w:r>
      <w:r w:rsidR="00810FDA" w:rsidRPr="00E53E52">
        <w:rPr>
          <w:rFonts w:ascii="Century Schoolbook" w:hAnsi="Century Schoolbook"/>
          <w:b/>
        </w:rPr>
        <w:t xml:space="preserve"> </w:t>
      </w:r>
    </w:p>
    <w:p w14:paraId="0F3FD696" w14:textId="0F1073A6" w:rsidR="00367700" w:rsidRPr="00E53E52" w:rsidRDefault="00367700" w:rsidP="0036367F">
      <w:pPr>
        <w:pStyle w:val="BodyText"/>
        <w:widowControl/>
        <w:spacing w:after="120"/>
        <w:ind w:firstLine="720"/>
        <w:rPr>
          <w:rFonts w:ascii="Century Schoolbook" w:hAnsi="Century Schoolbook"/>
        </w:rPr>
      </w:pPr>
      <w:r w:rsidRPr="00E53E52">
        <w:rPr>
          <w:rFonts w:ascii="Century Schoolbook" w:hAnsi="Century Schoolbook"/>
        </w:rPr>
        <w:t xml:space="preserve">Accompanying the large increase in unaccompanied children at the U.S.-Mexico border, see </w:t>
      </w:r>
      <w:r w:rsidR="006326B6" w:rsidRPr="00E53E52">
        <w:rPr>
          <w:rFonts w:ascii="Century Schoolbook" w:hAnsi="Century Schoolbook"/>
        </w:rPr>
        <w:t xml:space="preserve">the </w:t>
      </w:r>
      <w:r w:rsidR="00F70D51" w:rsidRPr="00E53E52">
        <w:rPr>
          <w:rFonts w:ascii="Century Schoolbook" w:hAnsi="Century Schoolbook"/>
        </w:rPr>
        <w:t>material</w:t>
      </w:r>
      <w:r w:rsidR="006326B6" w:rsidRPr="00E53E52">
        <w:rPr>
          <w:rFonts w:ascii="Century Schoolbook" w:hAnsi="Century Schoolbook"/>
        </w:rPr>
        <w:t xml:space="preserve"> in this Update for casebook </w:t>
      </w:r>
      <w:r w:rsidR="004F6BA8" w:rsidRPr="00E53E52">
        <w:rPr>
          <w:rFonts w:ascii="Century Schoolbook" w:hAnsi="Century Schoolbook"/>
        </w:rPr>
        <w:t>364</w:t>
      </w:r>
      <w:r w:rsidRPr="00E53E52">
        <w:rPr>
          <w:rFonts w:ascii="Century Schoolbook" w:hAnsi="Century Schoolbook"/>
        </w:rPr>
        <w:t xml:space="preserve">, </w:t>
      </w:r>
      <w:r w:rsidR="004B3082" w:rsidRPr="00E53E52">
        <w:rPr>
          <w:rFonts w:ascii="Century Schoolbook" w:hAnsi="Century Schoolbook"/>
        </w:rPr>
        <w:t xml:space="preserve">as well as a separate significant increase in adult applications for asylum, </w:t>
      </w:r>
      <w:r w:rsidRPr="00E53E52">
        <w:rPr>
          <w:rFonts w:ascii="Century Schoolbook" w:hAnsi="Century Schoolbook"/>
        </w:rPr>
        <w:t>the number of credible fear screenings there almost tripled between 2012 and 2013, from 13,931 in 2012 to 36,026 in 2013</w:t>
      </w:r>
      <w:r w:rsidR="00027B0C" w:rsidRPr="00E53E52">
        <w:rPr>
          <w:rFonts w:ascii="Century Schoolbook" w:hAnsi="Century Schoolbook"/>
        </w:rPr>
        <w:t xml:space="preserve">. </w:t>
      </w:r>
      <w:r w:rsidRPr="00E53E52">
        <w:rPr>
          <w:rFonts w:ascii="Century Schoolbook" w:hAnsi="Century Schoolbook"/>
        </w:rPr>
        <w:t xml:space="preserve">Julia Preston, </w:t>
      </w:r>
      <w:r w:rsidRPr="00E53E52">
        <w:rPr>
          <w:rFonts w:ascii="Century Schoolbook" w:hAnsi="Century Schoolbook"/>
          <w:i/>
        </w:rPr>
        <w:t>Hoping for Asylum, Migrants Strain U.S. Border</w:t>
      </w:r>
      <w:r w:rsidRPr="00E53E52">
        <w:rPr>
          <w:rFonts w:ascii="Century Schoolbook" w:hAnsi="Century Schoolbook"/>
        </w:rPr>
        <w:t>, N</w:t>
      </w:r>
      <w:r w:rsidR="003757FA" w:rsidRPr="00E53E52">
        <w:rPr>
          <w:rFonts w:ascii="Century Schoolbook" w:hAnsi="Century Schoolbook"/>
        </w:rPr>
        <w:t>.</w:t>
      </w:r>
      <w:r w:rsidRPr="00E53E52">
        <w:rPr>
          <w:rFonts w:ascii="Century Schoolbook" w:hAnsi="Century Schoolbook"/>
        </w:rPr>
        <w:t>Y</w:t>
      </w:r>
      <w:r w:rsidR="003757FA" w:rsidRPr="00E53E52">
        <w:rPr>
          <w:rFonts w:ascii="Century Schoolbook" w:hAnsi="Century Schoolbook"/>
        </w:rPr>
        <w:t>.</w:t>
      </w:r>
      <w:r w:rsidRPr="00E53E52">
        <w:rPr>
          <w:rFonts w:ascii="Century Schoolbook" w:hAnsi="Century Schoolbook"/>
        </w:rPr>
        <w:t xml:space="preserve"> Times, April 10, 2014</w:t>
      </w:r>
      <w:r w:rsidR="003757FA" w:rsidRPr="00E53E52">
        <w:rPr>
          <w:rFonts w:ascii="Century Schoolbook" w:hAnsi="Century Schoolbook"/>
        </w:rPr>
        <w:t>, at A1.</w:t>
      </w:r>
      <w:r w:rsidR="00810FDA" w:rsidRPr="00E53E52">
        <w:rPr>
          <w:rFonts w:ascii="Century Schoolbook" w:hAnsi="Century Schoolbook"/>
        </w:rPr>
        <w:t xml:space="preserve"> </w:t>
      </w:r>
      <w:r w:rsidR="00597C53" w:rsidRPr="00E53E52">
        <w:rPr>
          <w:rFonts w:ascii="Century Schoolbook" w:hAnsi="Century Schoolbook"/>
        </w:rPr>
        <w:t>The</w:t>
      </w:r>
      <w:r w:rsidR="002068D3" w:rsidRPr="00E53E52">
        <w:rPr>
          <w:rFonts w:ascii="Century Schoolbook" w:hAnsi="Century Schoolbook"/>
        </w:rPr>
        <w:t>se</w:t>
      </w:r>
      <w:r w:rsidR="00597C53" w:rsidRPr="00E53E52">
        <w:rPr>
          <w:rFonts w:ascii="Century Schoolbook" w:hAnsi="Century Schoolbook"/>
        </w:rPr>
        <w:t xml:space="preserve"> </w:t>
      </w:r>
      <w:r w:rsidR="00203A23" w:rsidRPr="00E53E52">
        <w:rPr>
          <w:rFonts w:ascii="Century Schoolbook" w:hAnsi="Century Schoolbook"/>
        </w:rPr>
        <w:t>numbers have continued to rise.</w:t>
      </w:r>
      <w:r w:rsidR="00810FDA" w:rsidRPr="00E53E52">
        <w:rPr>
          <w:rFonts w:ascii="Century Schoolbook" w:hAnsi="Century Schoolbook"/>
        </w:rPr>
        <w:t xml:space="preserve"> </w:t>
      </w:r>
      <w:r w:rsidR="003A22BB" w:rsidRPr="00E53E52">
        <w:rPr>
          <w:rFonts w:ascii="Century Schoolbook" w:hAnsi="Century Schoolbook"/>
        </w:rPr>
        <w:t xml:space="preserve">USCIS reported that it conducted 42,279 credible fear interviews </w:t>
      </w:r>
      <w:r w:rsidR="002068D3" w:rsidRPr="00E53E52">
        <w:rPr>
          <w:rFonts w:ascii="Century Schoolbook" w:hAnsi="Century Schoolbook"/>
        </w:rPr>
        <w:t>between October 2014 and September 2015</w:t>
      </w:r>
      <w:r w:rsidR="00A8392E" w:rsidRPr="00E53E52">
        <w:rPr>
          <w:rFonts w:ascii="Century Schoolbook" w:hAnsi="Century Schoolbook"/>
        </w:rPr>
        <w:t xml:space="preserve"> and 48,</w:t>
      </w:r>
      <w:r w:rsidR="00D7420F" w:rsidRPr="00E53E52">
        <w:rPr>
          <w:rFonts w:ascii="Century Schoolbook" w:hAnsi="Century Schoolbook"/>
        </w:rPr>
        <w:t>118</w:t>
      </w:r>
      <w:r w:rsidR="00A8392E" w:rsidRPr="00E53E52">
        <w:rPr>
          <w:rFonts w:ascii="Century Schoolbook" w:hAnsi="Century Schoolbook"/>
        </w:rPr>
        <w:t xml:space="preserve"> in FY 2016</w:t>
      </w:r>
      <w:r w:rsidR="002068D3" w:rsidRPr="00E53E52">
        <w:rPr>
          <w:rFonts w:ascii="Century Schoolbook" w:hAnsi="Century Schoolbook"/>
        </w:rPr>
        <w:t>.</w:t>
      </w:r>
      <w:r w:rsidR="00810FDA" w:rsidRPr="00E53E52">
        <w:rPr>
          <w:rFonts w:ascii="Century Schoolbook" w:hAnsi="Century Schoolbook"/>
        </w:rPr>
        <w:t xml:space="preserve"> </w:t>
      </w:r>
      <w:r w:rsidR="00D06926" w:rsidRPr="00E53E52">
        <w:rPr>
          <w:rFonts w:ascii="Century Schoolbook" w:hAnsi="Century Schoolbook"/>
        </w:rPr>
        <w:t>Asylum Division, USCIS, Credible Fear Workload</w:t>
      </w:r>
      <w:r w:rsidR="00C146B2" w:rsidRPr="00E53E52">
        <w:rPr>
          <w:rFonts w:ascii="Century Schoolbook" w:hAnsi="Century Schoolbook"/>
        </w:rPr>
        <w:t xml:space="preserve"> Report Summary, FY 2015</w:t>
      </w:r>
      <w:r w:rsidR="00D7420F" w:rsidRPr="00E53E52">
        <w:rPr>
          <w:rFonts w:ascii="Century Schoolbook" w:hAnsi="Century Schoolbook"/>
        </w:rPr>
        <w:t>, FY 2016</w:t>
      </w:r>
      <w:r w:rsidR="00C146B2" w:rsidRPr="00E53E52">
        <w:rPr>
          <w:rFonts w:ascii="Century Schoolbook" w:hAnsi="Century Schoolbook"/>
        </w:rPr>
        <w:t xml:space="preserve"> Total </w:t>
      </w:r>
      <w:r w:rsidR="004A1284" w:rsidRPr="00E53E52">
        <w:rPr>
          <w:rFonts w:ascii="Century Schoolbook" w:hAnsi="Century Schoolbook"/>
        </w:rPr>
        <w:t>Caseload.</w:t>
      </w:r>
      <w:r w:rsidR="00810FDA" w:rsidRPr="00E53E52">
        <w:rPr>
          <w:rFonts w:ascii="Century Schoolbook" w:hAnsi="Century Schoolbook"/>
        </w:rPr>
        <w:t xml:space="preserve"> </w:t>
      </w:r>
    </w:p>
    <w:p w14:paraId="737F5DDE" w14:textId="77777777" w:rsidR="00E42CE4" w:rsidRPr="00E53E52" w:rsidRDefault="00FB0DE0" w:rsidP="001D1D6E">
      <w:pPr>
        <w:spacing w:after="120"/>
        <w:rPr>
          <w:rFonts w:ascii="Century Schoolbook" w:hAnsi="Century Schoolbook"/>
          <w:b/>
          <w:color w:val="000000" w:themeColor="text1"/>
        </w:rPr>
      </w:pPr>
      <w:r w:rsidRPr="00E53E52">
        <w:rPr>
          <w:rFonts w:ascii="Century Schoolbook" w:hAnsi="Century Schoolbook"/>
          <w:b/>
          <w:color w:val="000000" w:themeColor="text1"/>
        </w:rPr>
        <w:t>o</w:t>
      </w:r>
      <w:r w:rsidR="00E42CE4" w:rsidRPr="00E53E52">
        <w:rPr>
          <w:rFonts w:ascii="Century Schoolbook" w:hAnsi="Century Schoolbook"/>
          <w:b/>
          <w:color w:val="000000" w:themeColor="text1"/>
        </w:rPr>
        <w:t>n p. 855, replace d. Conditions of Confinement with:</w:t>
      </w:r>
    </w:p>
    <w:p w14:paraId="7840FD37" w14:textId="77777777" w:rsidR="00E42CE4" w:rsidRPr="00E53E52" w:rsidRDefault="00E42CE4" w:rsidP="001D1D6E">
      <w:pPr>
        <w:spacing w:after="120"/>
        <w:rPr>
          <w:rFonts w:ascii="Century Schoolbook" w:hAnsi="Century Schoolbook"/>
          <w:b/>
          <w:color w:val="000000" w:themeColor="text1"/>
        </w:rPr>
      </w:pPr>
      <w:r w:rsidRPr="00E53E52">
        <w:rPr>
          <w:rFonts w:ascii="Century Schoolbook" w:hAnsi="Century Schoolbook"/>
          <w:b/>
          <w:color w:val="000000" w:themeColor="text1"/>
        </w:rPr>
        <w:t>d. Family Detention at the Border</w:t>
      </w:r>
    </w:p>
    <w:p w14:paraId="703F12A6" w14:textId="72AB359C" w:rsidR="00E42CE4" w:rsidRPr="00E53E52" w:rsidRDefault="00E42CE4" w:rsidP="001D1D6E">
      <w:pPr>
        <w:spacing w:after="120"/>
        <w:ind w:firstLine="720"/>
        <w:jc w:val="both"/>
        <w:rPr>
          <w:rFonts w:ascii="Century Schoolbook" w:hAnsi="Century Schoolbook"/>
          <w:color w:val="000000" w:themeColor="text1"/>
        </w:rPr>
      </w:pPr>
      <w:r w:rsidRPr="00E53E52">
        <w:rPr>
          <w:rFonts w:ascii="Century Schoolbook" w:hAnsi="Century Schoolbook"/>
          <w:color w:val="000000" w:themeColor="text1"/>
        </w:rPr>
        <w:t>In the spring of 2014, the Obama Administration</w:t>
      </w:r>
      <w:r w:rsidR="00C909C4" w:rsidRPr="00E53E52">
        <w:rPr>
          <w:rFonts w:ascii="Century Schoolbook" w:hAnsi="Century Schoolbook"/>
          <w:color w:val="000000" w:themeColor="text1"/>
        </w:rPr>
        <w:t>’</w:t>
      </w:r>
      <w:r w:rsidRPr="00E53E52">
        <w:rPr>
          <w:rFonts w:ascii="Century Schoolbook" w:hAnsi="Century Schoolbook"/>
          <w:color w:val="000000" w:themeColor="text1"/>
        </w:rPr>
        <w:t>s plans for a more generous immigration approach collided with news of the arrival of thousands of unaccompanied children and families at the southern U.S. border.</w:t>
      </w:r>
      <w:r w:rsidR="00810FDA" w:rsidRPr="00E53E52">
        <w:rPr>
          <w:rFonts w:ascii="Century Schoolbook" w:hAnsi="Century Schoolbook"/>
          <w:color w:val="000000" w:themeColor="text1"/>
        </w:rPr>
        <w:t xml:space="preserve"> </w:t>
      </w:r>
      <w:r w:rsidRPr="00E53E52">
        <w:rPr>
          <w:rFonts w:ascii="Century Schoolbook" w:hAnsi="Century Schoolbook"/>
          <w:color w:val="000000" w:themeColor="text1"/>
        </w:rPr>
        <w:t>Most had left Central American countries that were experiencing unprecedented levels of gang activity and violence.</w:t>
      </w:r>
      <w:r w:rsidR="00810FDA" w:rsidRPr="00E53E52">
        <w:rPr>
          <w:rFonts w:ascii="Century Schoolbook" w:hAnsi="Century Schoolbook"/>
          <w:color w:val="000000" w:themeColor="text1"/>
        </w:rPr>
        <w:t xml:space="preserve"> </w:t>
      </w:r>
      <w:r w:rsidRPr="00E53E52">
        <w:rPr>
          <w:rFonts w:ascii="Century Schoolbook" w:hAnsi="Century Schoolbook"/>
          <w:color w:val="000000" w:themeColor="text1"/>
        </w:rPr>
        <w:t>David Martin frames the conflict between the situation at the border and the Administration</w:t>
      </w:r>
      <w:r w:rsidR="00C909C4" w:rsidRPr="00E53E52">
        <w:rPr>
          <w:rFonts w:ascii="Century Schoolbook" w:hAnsi="Century Schoolbook"/>
          <w:color w:val="000000" w:themeColor="text1"/>
        </w:rPr>
        <w:t>’</w:t>
      </w:r>
      <w:r w:rsidRPr="00E53E52">
        <w:rPr>
          <w:rFonts w:ascii="Century Schoolbook" w:hAnsi="Century Schoolbook"/>
          <w:color w:val="000000" w:themeColor="text1"/>
        </w:rPr>
        <w:t xml:space="preserve">s goals in this way: </w:t>
      </w:r>
    </w:p>
    <w:p w14:paraId="3EBB6B42" w14:textId="77777777" w:rsidR="00E42CE4" w:rsidRPr="00E53E52" w:rsidRDefault="00E42CE4" w:rsidP="006E4C5A">
      <w:pPr>
        <w:spacing w:after="120"/>
        <w:ind w:left="720" w:right="720" w:firstLine="720"/>
        <w:jc w:val="both"/>
        <w:rPr>
          <w:rFonts w:ascii="Century Schoolbook" w:hAnsi="Century Schoolbook"/>
          <w:color w:val="000000" w:themeColor="text1"/>
        </w:rPr>
      </w:pPr>
      <w:r w:rsidRPr="00E53E52">
        <w:rPr>
          <w:rFonts w:ascii="Century Schoolbook" w:hAnsi="Century Schoolbook"/>
          <w:color w:val="000000" w:themeColor="text1"/>
        </w:rPr>
        <w:t xml:space="preserve">Record numbers of child migrants began arriving from Central America - sometimes alone and sometimes accompanied by family members. Up until that point, a major selling point for some form of legalization of long-resident undocumented populations (whether done through legislation or by executive action) had been the public perception that the border was under increasingly effective control. The arrival of children in such large numbers vividly undermined that perception, because this was a flow that seemed unlikely to yield to the tools previously used to beef up the border, such as frontier fencing or massive new deployments of the Border Patrol. The children and their family members were not trying to evade </w:t>
      </w:r>
      <w:r w:rsidRPr="00E53E52">
        <w:rPr>
          <w:rFonts w:ascii="Century Schoolbook" w:hAnsi="Century Schoolbook"/>
          <w:i/>
          <w:iCs/>
          <w:color w:val="000000" w:themeColor="text1"/>
        </w:rPr>
        <w:t>la migra</w:t>
      </w:r>
      <w:r w:rsidRPr="00E53E52">
        <w:rPr>
          <w:rFonts w:ascii="Century Schoolbook" w:hAnsi="Century Schoolbook"/>
          <w:color w:val="000000" w:themeColor="text1"/>
        </w:rPr>
        <w:t>. They were actually seeking officers out, in order to turn themselves in. They apparently perceived that this would lead to haven in the United States, perhaps through political asylum or through other special measures for children….</w:t>
      </w:r>
    </w:p>
    <w:p w14:paraId="370E8DAE" w14:textId="77777777" w:rsidR="00E42CE4" w:rsidRPr="00E53E52" w:rsidRDefault="00E42CE4" w:rsidP="001D1D6E">
      <w:pPr>
        <w:spacing w:after="120"/>
        <w:jc w:val="both"/>
        <w:rPr>
          <w:rFonts w:ascii="Century Schoolbook" w:hAnsi="Century Schoolbook"/>
          <w:color w:val="000000" w:themeColor="text1"/>
        </w:rPr>
      </w:pPr>
      <w:r w:rsidRPr="00E53E52">
        <w:rPr>
          <w:rFonts w:ascii="Century Schoolbook" w:hAnsi="Century Schoolbook"/>
          <w:color w:val="000000" w:themeColor="text1"/>
        </w:rPr>
        <w:t xml:space="preserve">David A. Martin, </w:t>
      </w:r>
      <w:r w:rsidRPr="00E53E52">
        <w:rPr>
          <w:rFonts w:ascii="Century Schoolbook" w:hAnsi="Century Schoolbook"/>
          <w:i/>
          <w:color w:val="000000" w:themeColor="text1"/>
        </w:rPr>
        <w:t xml:space="preserve">Resolute Enforcement Is Not Just for </w:t>
      </w:r>
      <w:r w:rsidRPr="00E53E52">
        <w:rPr>
          <w:rFonts w:ascii="Century Schoolbook" w:hAnsi="Century Schoolbook"/>
          <w:spacing w:val="-2"/>
        </w:rPr>
        <w:t>Restrictionists</w:t>
      </w:r>
      <w:r w:rsidRPr="00E53E52">
        <w:rPr>
          <w:rFonts w:ascii="Century Schoolbook" w:hAnsi="Century Schoolbook"/>
          <w:i/>
          <w:color w:val="000000" w:themeColor="text1"/>
        </w:rPr>
        <w:t>: Building A Stable and Efficient Immigration Enforcement System</w:t>
      </w:r>
      <w:r w:rsidRPr="00E53E52">
        <w:rPr>
          <w:rFonts w:ascii="Century Schoolbook" w:hAnsi="Century Schoolbook"/>
          <w:color w:val="000000" w:themeColor="text1"/>
        </w:rPr>
        <w:t>, 30 J.L. &amp; Pol. 411, 421 (2015).</w:t>
      </w:r>
    </w:p>
    <w:p w14:paraId="445E29B9" w14:textId="2899232C" w:rsidR="00E42CE4" w:rsidRPr="00E53E52" w:rsidRDefault="00E42CE4" w:rsidP="001D1D6E">
      <w:pPr>
        <w:spacing w:after="120"/>
        <w:ind w:firstLine="720"/>
        <w:jc w:val="both"/>
        <w:rPr>
          <w:rFonts w:ascii="Century Schoolbook" w:hAnsi="Century Schoolbook"/>
          <w:color w:val="000000" w:themeColor="text1"/>
        </w:rPr>
      </w:pPr>
      <w:r w:rsidRPr="00E53E52">
        <w:rPr>
          <w:rFonts w:ascii="Century Schoolbook" w:hAnsi="Century Schoolbook"/>
          <w:color w:val="000000" w:themeColor="text1"/>
        </w:rPr>
        <w:t xml:space="preserve">Facing congressional pressure to act, resistance from some communities to locating shelter care for the children within their boundaries, and a drop in public support for a </w:t>
      </w:r>
      <w:r w:rsidRPr="00E53E52">
        <w:rPr>
          <w:rFonts w:ascii="Century Schoolbook" w:hAnsi="Century Schoolbook"/>
          <w:color w:val="000000" w:themeColor="text1"/>
        </w:rPr>
        <w:lastRenderedPageBreak/>
        <w:t>legalization program, the Administration took an enforcement-minded approach to the crisis.</w:t>
      </w:r>
      <w:r w:rsidR="00810FDA" w:rsidRPr="00E53E52">
        <w:rPr>
          <w:rFonts w:ascii="Century Schoolbook" w:hAnsi="Century Schoolbook"/>
          <w:color w:val="000000" w:themeColor="text1"/>
        </w:rPr>
        <w:t xml:space="preserve"> </w:t>
      </w:r>
      <w:r w:rsidRPr="00E53E52">
        <w:rPr>
          <w:rFonts w:ascii="Century Schoolbook" w:hAnsi="Century Schoolbook"/>
          <w:color w:val="000000" w:themeColor="text1"/>
        </w:rPr>
        <w:t xml:space="preserve">In June 2014, DHS began to apply the expedited removal provisions of INA </w:t>
      </w:r>
      <w:r w:rsidR="008C132A" w:rsidRPr="00E53E52">
        <w:rPr>
          <w:rFonts w:ascii="Century Schoolbook" w:hAnsi="Century Schoolbook"/>
          <w:color w:val="000000" w:themeColor="text1"/>
        </w:rPr>
        <w:t>§ </w:t>
      </w:r>
      <w:r w:rsidRPr="00E53E52">
        <w:rPr>
          <w:rFonts w:ascii="Century Schoolbook" w:hAnsi="Century Schoolbook"/>
          <w:color w:val="000000" w:themeColor="text1"/>
        </w:rPr>
        <w:t>235(b)(1) to arriving Central American children accompanied by their mothers.</w:t>
      </w:r>
      <w:r w:rsidR="00810FDA" w:rsidRPr="00E53E52">
        <w:rPr>
          <w:rFonts w:ascii="Century Schoolbook" w:hAnsi="Century Schoolbook"/>
          <w:color w:val="000000" w:themeColor="text1"/>
        </w:rPr>
        <w:t xml:space="preserve"> </w:t>
      </w:r>
      <w:r w:rsidRPr="00E53E52">
        <w:rPr>
          <w:rFonts w:ascii="Century Schoolbook" w:hAnsi="Century Schoolbook"/>
          <w:color w:val="000000" w:themeColor="text1"/>
        </w:rPr>
        <w:t>The Administration announced it would detain the mothers and children rather than releasing them while their asylum claims were processed, as had been the common practice.</w:t>
      </w:r>
      <w:r w:rsidR="00810FDA" w:rsidRPr="00E53E52">
        <w:rPr>
          <w:rFonts w:ascii="Century Schoolbook" w:hAnsi="Century Schoolbook"/>
          <w:color w:val="000000" w:themeColor="text1"/>
        </w:rPr>
        <w:t xml:space="preserve"> </w:t>
      </w:r>
      <w:r w:rsidRPr="00E53E52">
        <w:rPr>
          <w:rFonts w:ascii="Century Schoolbook" w:hAnsi="Century Schoolbook"/>
          <w:color w:val="000000" w:themeColor="text1"/>
        </w:rPr>
        <w:t>DHS established a temporary facility in Artesia, New Mexico and contracted with private prison contractors to build and expand additional facilities in Dilley and Karnes City, Texas, bringing the capacity for family detention from approximately 100 beds to over 3,000.</w:t>
      </w:r>
      <w:r w:rsidRPr="00E53E52">
        <w:rPr>
          <w:rStyle w:val="FootnoteReference"/>
          <w:rFonts w:ascii="Century Schoolbook" w:hAnsi="Century Schoolbook"/>
          <w:color w:val="000000" w:themeColor="text1"/>
        </w:rPr>
        <w:footnoteReference w:id="15"/>
      </w:r>
      <w:r w:rsidR="00810FDA" w:rsidRPr="00E53E52">
        <w:rPr>
          <w:rFonts w:ascii="Century Schoolbook" w:hAnsi="Century Schoolbook"/>
          <w:color w:val="000000" w:themeColor="text1"/>
        </w:rPr>
        <w:t xml:space="preserve"> </w:t>
      </w:r>
      <w:r w:rsidRPr="00E53E52">
        <w:rPr>
          <w:rFonts w:ascii="Century Schoolbook" w:hAnsi="Century Schoolbook"/>
          <w:color w:val="000000" w:themeColor="text1"/>
        </w:rPr>
        <w:t xml:space="preserve">High-level executive officials announced the opening of the Artesia facility, to be paired with a new policy of rapid removal processing. </w:t>
      </w:r>
      <w:r w:rsidRPr="00E53E52">
        <w:rPr>
          <w:rFonts w:ascii="Century Schoolbook" w:hAnsi="Century Schoolbook"/>
          <w:i/>
          <w:color w:val="000000" w:themeColor="text1"/>
        </w:rPr>
        <w:t>See Remarks to the Press with Q&amp;A by Vice President Joe Biden in Guatemala</w:t>
      </w:r>
      <w:r w:rsidRPr="00E53E52">
        <w:rPr>
          <w:rFonts w:ascii="Century Schoolbook" w:hAnsi="Century Schoolbook"/>
          <w:color w:val="000000" w:themeColor="text1"/>
        </w:rPr>
        <w:t xml:space="preserve">, </w:t>
      </w:r>
      <w:r w:rsidRPr="00E53E52">
        <w:rPr>
          <w:rFonts w:ascii="Century Schoolbook" w:hAnsi="Century Schoolbook"/>
        </w:rPr>
        <w:t>https://www.whitehouse.gov/the-press-office/2014/06/20/remarks-press-qa-vice-president-joe-biden-guatemala</w:t>
      </w:r>
      <w:r w:rsidRPr="00E53E52">
        <w:rPr>
          <w:rFonts w:ascii="Century Schoolbook" w:hAnsi="Century Schoolbook"/>
          <w:color w:val="000000" w:themeColor="text1"/>
        </w:rPr>
        <w:t xml:space="preserve">, June 20, 2014; Preston &amp; Archibold, </w:t>
      </w:r>
      <w:r w:rsidRPr="00E53E52">
        <w:rPr>
          <w:rFonts w:ascii="Century Schoolbook" w:hAnsi="Century Schoolbook"/>
          <w:i/>
          <w:iCs/>
          <w:color w:val="000000" w:themeColor="text1"/>
        </w:rPr>
        <w:t xml:space="preserve">U.S. Moves to Stop Surge in Illegal Immigration, </w:t>
      </w:r>
      <w:r w:rsidRPr="00E53E52">
        <w:rPr>
          <w:rFonts w:ascii="Century Schoolbook" w:hAnsi="Century Schoolbook"/>
          <w:iCs/>
          <w:smallCaps/>
          <w:color w:val="000000" w:themeColor="text1"/>
        </w:rPr>
        <w:t xml:space="preserve">N.Y. Times, </w:t>
      </w:r>
      <w:r w:rsidRPr="00E53E52">
        <w:rPr>
          <w:rFonts w:ascii="Century Schoolbook" w:hAnsi="Century Schoolbook"/>
          <w:color w:val="000000" w:themeColor="text1"/>
        </w:rPr>
        <w:t xml:space="preserve">June </w:t>
      </w:r>
      <w:r w:rsidRPr="00E53E52">
        <w:rPr>
          <w:rFonts w:ascii="Century Schoolbook" w:hAnsi="Century Schoolbook"/>
          <w:iCs/>
          <w:smallCaps/>
          <w:color w:val="000000" w:themeColor="text1"/>
        </w:rPr>
        <w:t>20, 2014</w:t>
      </w:r>
      <w:r w:rsidRPr="00E53E52">
        <w:rPr>
          <w:rFonts w:ascii="Century Schoolbook" w:hAnsi="Century Schoolbook"/>
          <w:color w:val="000000" w:themeColor="text1"/>
        </w:rPr>
        <w:t>.</w:t>
      </w:r>
    </w:p>
    <w:p w14:paraId="6B736C0E" w14:textId="74F7ED14" w:rsidR="00E42CE4" w:rsidRPr="00E53E52" w:rsidRDefault="00E42CE4" w:rsidP="001D1D6E">
      <w:pPr>
        <w:spacing w:after="120"/>
        <w:ind w:firstLine="720"/>
        <w:jc w:val="both"/>
        <w:rPr>
          <w:rFonts w:ascii="Century Schoolbook" w:hAnsi="Century Schoolbook"/>
          <w:color w:val="000000" w:themeColor="text1"/>
        </w:rPr>
      </w:pPr>
      <w:r w:rsidRPr="00E53E52">
        <w:rPr>
          <w:rFonts w:ascii="Century Schoolbook" w:hAnsi="Century Schoolbook"/>
          <w:color w:val="000000" w:themeColor="text1"/>
        </w:rPr>
        <w:t>The decision to channel the mothers and their children into expedited removal proceedings had two consequences.</w:t>
      </w:r>
      <w:r w:rsidR="00810FDA" w:rsidRPr="00E53E52">
        <w:rPr>
          <w:rFonts w:ascii="Century Schoolbook" w:hAnsi="Century Schoolbook"/>
          <w:color w:val="000000" w:themeColor="text1"/>
        </w:rPr>
        <w:t xml:space="preserve"> </w:t>
      </w:r>
      <w:r w:rsidRPr="00E53E52">
        <w:rPr>
          <w:rFonts w:ascii="Century Schoolbook" w:hAnsi="Century Schoolbook"/>
          <w:color w:val="000000" w:themeColor="text1"/>
        </w:rPr>
        <w:t xml:space="preserve">It triggered mandatory detention and a truncated removal process that lacks judicial review, unless the person is found to have a credible fear of persecution. </w:t>
      </w:r>
      <w:r w:rsidRPr="00E53E52">
        <w:rPr>
          <w:rFonts w:ascii="Century Schoolbook" w:hAnsi="Century Schoolbook"/>
          <w:i/>
          <w:color w:val="000000" w:themeColor="text1"/>
        </w:rPr>
        <w:t xml:space="preserve">See </w:t>
      </w:r>
      <w:r w:rsidRPr="00E53E52">
        <w:rPr>
          <w:rFonts w:ascii="Century Schoolbook" w:hAnsi="Century Schoolbook"/>
          <w:color w:val="000000" w:themeColor="text1"/>
        </w:rPr>
        <w:t xml:space="preserve">INA </w:t>
      </w:r>
      <w:r w:rsidR="008C132A" w:rsidRPr="00E53E52">
        <w:rPr>
          <w:rFonts w:ascii="Century Schoolbook" w:hAnsi="Century Schoolbook"/>
          <w:color w:val="000000" w:themeColor="text1"/>
        </w:rPr>
        <w:t>§ </w:t>
      </w:r>
      <w:r w:rsidRPr="00E53E52">
        <w:rPr>
          <w:rFonts w:ascii="Century Schoolbook" w:hAnsi="Century Schoolbook"/>
          <w:color w:val="000000" w:themeColor="text1"/>
        </w:rPr>
        <w:t>235 (b)(1)(B)(iii)(IV) (</w:t>
      </w:r>
      <w:r w:rsidR="00C909C4" w:rsidRPr="00E53E52">
        <w:rPr>
          <w:rFonts w:ascii="Century Schoolbook" w:hAnsi="Century Schoolbook"/>
          <w:color w:val="000000" w:themeColor="text1"/>
        </w:rPr>
        <w:t>“</w:t>
      </w:r>
      <w:r w:rsidRPr="00E53E52">
        <w:rPr>
          <w:rFonts w:ascii="Century Schoolbook" w:hAnsi="Century Schoolbook"/>
          <w:color w:val="000000" w:themeColor="text1"/>
        </w:rPr>
        <w:t>Any alien subject to the procedures under this clause shall be detained pending a final determination of credible fear of persecution and, if found not to have such a fear, until removed.</w:t>
      </w:r>
      <w:r w:rsidR="00C909C4" w:rsidRPr="00E53E52">
        <w:rPr>
          <w:rFonts w:ascii="Century Schoolbook" w:hAnsi="Century Schoolbook"/>
          <w:color w:val="000000" w:themeColor="text1"/>
        </w:rPr>
        <w:t>”</w:t>
      </w:r>
      <w:r w:rsidRPr="00E53E52">
        <w:rPr>
          <w:rFonts w:ascii="Century Schoolbook" w:hAnsi="Century Schoolbook"/>
          <w:color w:val="000000" w:themeColor="text1"/>
        </w:rPr>
        <w:t>). The expedited removal process requires Customs and Border Patrol agents to inquire whether apprehended noncitizens have a fear of returning to their country of origin. Expressing a fear of return leads to an interview with a USCIS asylum officer to determine whether the noncitizen has a credible fear or reasonable fear of return.</w:t>
      </w:r>
      <w:r w:rsidR="00810FDA" w:rsidRPr="00E53E52">
        <w:rPr>
          <w:rFonts w:ascii="Century Schoolbook" w:hAnsi="Century Schoolbook"/>
          <w:color w:val="000000" w:themeColor="text1"/>
        </w:rPr>
        <w:t xml:space="preserve"> </w:t>
      </w:r>
      <w:r w:rsidRPr="00E53E52">
        <w:rPr>
          <w:rFonts w:ascii="Century Schoolbook" w:hAnsi="Century Schoolbook"/>
          <w:color w:val="000000" w:themeColor="text1"/>
        </w:rPr>
        <w:t xml:space="preserve">INA </w:t>
      </w:r>
      <w:r w:rsidR="008C132A" w:rsidRPr="00E53E52">
        <w:rPr>
          <w:rFonts w:ascii="Century Schoolbook" w:hAnsi="Century Schoolbook"/>
          <w:color w:val="000000" w:themeColor="text1"/>
        </w:rPr>
        <w:t>§ </w:t>
      </w:r>
      <w:r w:rsidRPr="00E53E52">
        <w:rPr>
          <w:rFonts w:ascii="Century Schoolbook" w:hAnsi="Century Schoolbook"/>
          <w:color w:val="000000" w:themeColor="text1"/>
        </w:rPr>
        <w:t xml:space="preserve">235(b)(1)(A) &amp; (B); 8 C.F.R. </w:t>
      </w:r>
      <w:r w:rsidR="008C132A" w:rsidRPr="00E53E52">
        <w:rPr>
          <w:rFonts w:ascii="Century Schoolbook" w:hAnsi="Century Schoolbook"/>
          <w:color w:val="000000" w:themeColor="text1"/>
        </w:rPr>
        <w:t>§ </w:t>
      </w:r>
      <w:r w:rsidRPr="00E53E52">
        <w:rPr>
          <w:rFonts w:ascii="Century Schoolbook" w:hAnsi="Century Schoolbook"/>
          <w:color w:val="000000" w:themeColor="text1"/>
        </w:rPr>
        <w:t xml:space="preserve">208.30(d)-(g). If the asylum officer makes a positive determination, the noncitizen exits the expedited removal process and is entitled to pursue an asylum claim in a traditional removal proceeding under INA </w:t>
      </w:r>
      <w:r w:rsidR="008C132A" w:rsidRPr="00E53E52">
        <w:rPr>
          <w:rFonts w:ascii="Century Schoolbook" w:hAnsi="Century Schoolbook"/>
          <w:color w:val="000000" w:themeColor="text1"/>
        </w:rPr>
        <w:t>§ </w:t>
      </w:r>
      <w:r w:rsidRPr="00E53E52">
        <w:rPr>
          <w:rFonts w:ascii="Century Schoolbook" w:hAnsi="Century Schoolbook"/>
          <w:color w:val="000000" w:themeColor="text1"/>
        </w:rPr>
        <w:t xml:space="preserve">240. 8 C.F.R. </w:t>
      </w:r>
      <w:r w:rsidR="008C132A" w:rsidRPr="00E53E52">
        <w:rPr>
          <w:rFonts w:ascii="Century Schoolbook" w:hAnsi="Century Schoolbook"/>
          <w:color w:val="000000" w:themeColor="text1"/>
        </w:rPr>
        <w:t>§ </w:t>
      </w:r>
      <w:r w:rsidRPr="00E53E52">
        <w:rPr>
          <w:rFonts w:ascii="Century Schoolbook" w:hAnsi="Century Schoolbook"/>
          <w:color w:val="000000" w:themeColor="text1"/>
        </w:rPr>
        <w:t xml:space="preserve">235.6(a)(2)(ii). (For a lengthier discussion of expedited removal at the border, limits on judicial review, the procedure for identifying asylum seekers, and detention, see pp. 569-580 in the casebook.) </w:t>
      </w:r>
    </w:p>
    <w:p w14:paraId="46054AB9" w14:textId="32D00F5E" w:rsidR="00E42CE4" w:rsidRPr="00E53E52" w:rsidRDefault="00E42CE4" w:rsidP="001D1D6E">
      <w:pPr>
        <w:spacing w:after="120"/>
        <w:ind w:firstLine="720"/>
        <w:jc w:val="both"/>
        <w:rPr>
          <w:rFonts w:ascii="Century Schoolbook" w:hAnsi="Century Schoolbook"/>
          <w:i/>
          <w:color w:val="000000" w:themeColor="text1"/>
        </w:rPr>
      </w:pPr>
      <w:r w:rsidRPr="00E53E52">
        <w:rPr>
          <w:rFonts w:ascii="Century Schoolbook" w:hAnsi="Century Schoolbook"/>
          <w:color w:val="000000" w:themeColor="text1"/>
        </w:rPr>
        <w:t>Litigation and controversy enshrouded the detention facilities almost immediately. The detention of asylum-seeking mothers and children, a highly sympathetic group, inspired fierce critique from immigrant and child advocates, members of Congress, and other groups that the Administration usually counted as allies.</w:t>
      </w:r>
      <w:r w:rsidR="00810FDA" w:rsidRPr="00E53E52">
        <w:rPr>
          <w:rFonts w:ascii="Century Schoolbook" w:hAnsi="Century Schoolbook"/>
          <w:color w:val="000000" w:themeColor="text1"/>
        </w:rPr>
        <w:t xml:space="preserve"> </w:t>
      </w:r>
      <w:r w:rsidRPr="00E53E52">
        <w:rPr>
          <w:rFonts w:ascii="Century Schoolbook" w:hAnsi="Century Schoolbook"/>
          <w:color w:val="000000" w:themeColor="text1"/>
        </w:rPr>
        <w:t>It galvanized immigration advocates, law school clinics and law students around the country.</w:t>
      </w:r>
      <w:r w:rsidR="00810FDA" w:rsidRPr="00E53E52">
        <w:rPr>
          <w:rFonts w:ascii="Century Schoolbook" w:hAnsi="Century Schoolbook"/>
          <w:color w:val="000000" w:themeColor="text1"/>
        </w:rPr>
        <w:t xml:space="preserve"> </w:t>
      </w:r>
      <w:r w:rsidRPr="00E53E52">
        <w:rPr>
          <w:rFonts w:ascii="Century Schoolbook" w:hAnsi="Century Schoolbook"/>
          <w:color w:val="000000" w:themeColor="text1"/>
        </w:rPr>
        <w:t>Brigades of volunteer legal teams traveled to the remote town of Artesia to represent the detainees and, after the Artesia facility closed, to the larger contractor-run sites in Karnes City and Dilley.</w:t>
      </w:r>
      <w:r w:rsidR="00810FDA" w:rsidRPr="00E53E52">
        <w:rPr>
          <w:rFonts w:ascii="Century Schoolbook" w:hAnsi="Century Schoolbook"/>
          <w:color w:val="000000" w:themeColor="text1"/>
        </w:rPr>
        <w:t xml:space="preserve"> </w:t>
      </w:r>
      <w:r w:rsidRPr="00E53E52">
        <w:rPr>
          <w:rFonts w:ascii="Century Schoolbook" w:hAnsi="Century Schoolbook"/>
          <w:i/>
          <w:color w:val="000000" w:themeColor="text1"/>
        </w:rPr>
        <w:t xml:space="preserve">See </w:t>
      </w:r>
      <w:r w:rsidRPr="00E53E52">
        <w:rPr>
          <w:rFonts w:ascii="Century Schoolbook" w:hAnsi="Century Schoolbook"/>
          <w:color w:val="000000" w:themeColor="text1"/>
        </w:rPr>
        <w:t>Manning,</w:t>
      </w:r>
      <w:r w:rsidRPr="00E53E52">
        <w:rPr>
          <w:rFonts w:ascii="Century Schoolbook" w:hAnsi="Century Schoolbook"/>
          <w:i/>
          <w:color w:val="000000" w:themeColor="text1"/>
        </w:rPr>
        <w:t xml:space="preserve"> Ending Artesia, </w:t>
      </w:r>
      <w:r w:rsidRPr="00E53E52">
        <w:rPr>
          <w:rFonts w:ascii="Century Schoolbook" w:hAnsi="Century Schoolbook"/>
          <w:color w:val="000000" w:themeColor="text1"/>
        </w:rPr>
        <w:t xml:space="preserve">Chap. VI, Jan. 2015, </w:t>
      </w:r>
      <w:r w:rsidRPr="00E53E52">
        <w:rPr>
          <w:rFonts w:ascii="Century Schoolbook" w:hAnsi="Century Schoolbook"/>
        </w:rPr>
        <w:t>https://innovationlawlab.org/the-artesia-report</w:t>
      </w:r>
      <w:r w:rsidRPr="00E53E52">
        <w:rPr>
          <w:rFonts w:ascii="Century Schoolbook" w:hAnsi="Century Schoolbook"/>
          <w:color w:val="000000" w:themeColor="text1"/>
        </w:rPr>
        <w:t xml:space="preserve">. </w:t>
      </w:r>
    </w:p>
    <w:p w14:paraId="54107BF0" w14:textId="0D135430" w:rsidR="00E42CE4" w:rsidRPr="00E53E52" w:rsidRDefault="00E42CE4" w:rsidP="001D1D6E">
      <w:pPr>
        <w:spacing w:after="120"/>
        <w:ind w:firstLine="720"/>
        <w:jc w:val="both"/>
        <w:rPr>
          <w:rFonts w:ascii="Century Schoolbook" w:hAnsi="Century Schoolbook"/>
          <w:color w:val="000000" w:themeColor="text1"/>
        </w:rPr>
      </w:pPr>
      <w:r w:rsidRPr="00E53E52">
        <w:rPr>
          <w:rFonts w:ascii="Century Schoolbook" w:hAnsi="Century Schoolbook"/>
          <w:color w:val="000000" w:themeColor="text1"/>
        </w:rPr>
        <w:lastRenderedPageBreak/>
        <w:t xml:space="preserve">The Administration took a hard line on efforts to release the mothers and children on bond, initially declining to set any bond for release or setting unreachably high bonds for nearly all of the detained women and children. </w:t>
      </w:r>
      <w:r w:rsidRPr="00E53E52">
        <w:rPr>
          <w:rFonts w:ascii="Century Schoolbook" w:hAnsi="Century Schoolbook"/>
          <w:i/>
          <w:color w:val="000000" w:themeColor="text1"/>
        </w:rPr>
        <w:t>See</w:t>
      </w:r>
      <w:r w:rsidRPr="00E53E52">
        <w:rPr>
          <w:rFonts w:ascii="Century Schoolbook" w:hAnsi="Century Schoolbook"/>
          <w:color w:val="000000" w:themeColor="text1"/>
        </w:rPr>
        <w:t xml:space="preserve"> </w:t>
      </w:r>
      <w:r w:rsidRPr="00E53E52">
        <w:rPr>
          <w:rFonts w:ascii="Century Schoolbook" w:hAnsi="Century Schoolbook"/>
          <w:i/>
          <w:color w:val="000000" w:themeColor="text1"/>
        </w:rPr>
        <w:t>R.I.L-R v. Johnson</w:t>
      </w:r>
      <w:r w:rsidRPr="00E53E52">
        <w:rPr>
          <w:rFonts w:ascii="Century Schoolbook" w:hAnsi="Century Schoolbook"/>
          <w:color w:val="000000" w:themeColor="text1"/>
        </w:rPr>
        <w:t xml:space="preserve">, No. CV 15-11 (JEB), 2015 WL 737117, *4-5 (D.D.C. 2015); </w:t>
      </w:r>
      <w:r w:rsidRPr="00E53E52">
        <w:rPr>
          <w:rFonts w:ascii="Century Schoolbook" w:hAnsi="Century Schoolbook"/>
          <w:i/>
          <w:color w:val="000000" w:themeColor="text1"/>
        </w:rPr>
        <w:t xml:space="preserve">see also </w:t>
      </w:r>
      <w:r w:rsidRPr="00E53E52">
        <w:rPr>
          <w:rFonts w:ascii="Century Schoolbook" w:hAnsi="Century Schoolbook"/>
          <w:color w:val="000000" w:themeColor="text1"/>
        </w:rPr>
        <w:t>Martin,</w:t>
      </w:r>
      <w:r w:rsidRPr="00E53E52">
        <w:rPr>
          <w:rFonts w:ascii="Century Schoolbook" w:hAnsi="Century Schoolbook"/>
          <w:i/>
          <w:color w:val="000000" w:themeColor="text1"/>
        </w:rPr>
        <w:t xml:space="preserve"> supra </w:t>
      </w:r>
      <w:r w:rsidRPr="00E53E52">
        <w:rPr>
          <w:rFonts w:ascii="Century Schoolbook" w:hAnsi="Century Schoolbook"/>
          <w:color w:val="000000" w:themeColor="text1"/>
        </w:rPr>
        <w:t>at 424 (reflecting that the Administration</w:t>
      </w:r>
      <w:r w:rsidR="00C909C4" w:rsidRPr="00E53E52">
        <w:rPr>
          <w:rFonts w:ascii="Century Schoolbook" w:hAnsi="Century Schoolbook"/>
          <w:color w:val="000000" w:themeColor="text1"/>
        </w:rPr>
        <w:t>’</w:t>
      </w:r>
      <w:r w:rsidRPr="00E53E52">
        <w:rPr>
          <w:rFonts w:ascii="Century Schoolbook" w:hAnsi="Century Schoolbook"/>
          <w:color w:val="000000" w:themeColor="text1"/>
        </w:rPr>
        <w:t xml:space="preserve">s severe reaction to the migrants </w:t>
      </w:r>
      <w:r w:rsidR="00C909C4" w:rsidRPr="00E53E52">
        <w:rPr>
          <w:rFonts w:ascii="Century Schoolbook" w:hAnsi="Century Schoolbook"/>
          <w:color w:val="000000" w:themeColor="text1"/>
        </w:rPr>
        <w:t>“</w:t>
      </w:r>
      <w:r w:rsidRPr="00E53E52">
        <w:rPr>
          <w:rFonts w:ascii="Century Schoolbook" w:hAnsi="Century Schoolbook"/>
          <w:color w:val="000000" w:themeColor="text1"/>
        </w:rPr>
        <w:t>is explainable largely as a White House recognition that its long-term goals for dealing with the resident undocumented population can succeed only if that population exhibits no significant or visible net growth</w:t>
      </w:r>
      <w:r w:rsidR="00C909C4" w:rsidRPr="00E53E52">
        <w:rPr>
          <w:rFonts w:ascii="Century Schoolbook" w:hAnsi="Century Schoolbook"/>
          <w:color w:val="000000" w:themeColor="text1"/>
        </w:rPr>
        <w:t>”</w:t>
      </w:r>
      <w:r w:rsidRPr="00E53E52">
        <w:rPr>
          <w:rFonts w:ascii="Century Schoolbook" w:hAnsi="Century Schoolbook"/>
          <w:color w:val="000000" w:themeColor="text1"/>
        </w:rPr>
        <w:t>).</w:t>
      </w:r>
      <w:r w:rsidR="00810FDA" w:rsidRPr="00E53E52">
        <w:rPr>
          <w:rFonts w:ascii="Century Schoolbook" w:hAnsi="Century Schoolbook"/>
          <w:color w:val="000000" w:themeColor="text1"/>
        </w:rPr>
        <w:t xml:space="preserve"> </w:t>
      </w:r>
      <w:r w:rsidRPr="00E53E52">
        <w:rPr>
          <w:rFonts w:ascii="Century Schoolbook" w:hAnsi="Century Schoolbook"/>
          <w:color w:val="000000" w:themeColor="text1"/>
        </w:rPr>
        <w:t xml:space="preserve">The government argued that the detainees lacked constitutional due process and habeas protections, relying on </w:t>
      </w:r>
      <w:r w:rsidRPr="00E53E52">
        <w:rPr>
          <w:rFonts w:ascii="Century Schoolbook" w:hAnsi="Century Schoolbook"/>
          <w:i/>
          <w:iCs/>
          <w:color w:val="000000" w:themeColor="text1"/>
        </w:rPr>
        <w:t>United States ex rel. Knauff v. Shaughnessy</w:t>
      </w:r>
      <w:r w:rsidRPr="00E53E52">
        <w:rPr>
          <w:rFonts w:ascii="Century Schoolbook" w:hAnsi="Century Schoolbook"/>
          <w:color w:val="000000" w:themeColor="text1"/>
        </w:rPr>
        <w:t>, 338 U.S. 537, 542-44 (1950).</w:t>
      </w:r>
      <w:r w:rsidR="00810FDA" w:rsidRPr="00E53E52">
        <w:rPr>
          <w:rFonts w:ascii="Century Schoolbook" w:hAnsi="Century Schoolbook"/>
          <w:color w:val="000000" w:themeColor="text1"/>
        </w:rPr>
        <w:t xml:space="preserve"> </w:t>
      </w:r>
      <w:r w:rsidRPr="00E53E52">
        <w:rPr>
          <w:rFonts w:ascii="Century Schoolbook" w:hAnsi="Century Schoolbook"/>
          <w:i/>
          <w:color w:val="000000" w:themeColor="text1"/>
        </w:rPr>
        <w:t>See M.S.P.C. v. U.S. Customs &amp; Border Prot.</w:t>
      </w:r>
      <w:r w:rsidRPr="00E53E52">
        <w:rPr>
          <w:rFonts w:ascii="Century Schoolbook" w:hAnsi="Century Schoolbook"/>
          <w:color w:val="000000" w:themeColor="text1"/>
        </w:rPr>
        <w:t xml:space="preserve">, 60 F. Supp. 3d 1156, 1167-72 (D.N.M. 2014) (also citing </w:t>
      </w:r>
      <w:r w:rsidRPr="00E53E52">
        <w:rPr>
          <w:rFonts w:ascii="Century Schoolbook" w:hAnsi="Century Schoolbook"/>
          <w:i/>
          <w:iCs/>
          <w:color w:val="000000" w:themeColor="text1"/>
        </w:rPr>
        <w:t>Shaughnessy v. United States ex rel. Mezei,</w:t>
      </w:r>
      <w:r w:rsidRPr="00E53E52">
        <w:rPr>
          <w:rFonts w:ascii="Century Schoolbook" w:hAnsi="Century Schoolbook"/>
          <w:color w:val="000000" w:themeColor="text1"/>
        </w:rPr>
        <w:t xml:space="preserve"> 345 U.S. 206, 215, 73 S.Ct. 625, 97 L.Ed. 956 (1953)).</w:t>
      </w:r>
      <w:r w:rsidR="00810FDA" w:rsidRPr="00E53E52">
        <w:rPr>
          <w:rFonts w:ascii="Century Schoolbook" w:hAnsi="Century Schoolbook"/>
          <w:color w:val="000000" w:themeColor="text1"/>
        </w:rPr>
        <w:t xml:space="preserve"> </w:t>
      </w:r>
      <w:r w:rsidRPr="00E53E52">
        <w:rPr>
          <w:rFonts w:ascii="Century Schoolbook" w:hAnsi="Century Schoolbook"/>
          <w:color w:val="000000" w:themeColor="text1"/>
        </w:rPr>
        <w:t xml:space="preserve">DHS maintained that detention was necessary to deter other children and families from making the journey, and that preventing further mass migration was a matter of national security. </w:t>
      </w:r>
      <w:r w:rsidRPr="00E53E52">
        <w:rPr>
          <w:rFonts w:ascii="Century Schoolbook" w:hAnsi="Century Schoolbook"/>
          <w:i/>
          <w:color w:val="000000" w:themeColor="text1"/>
        </w:rPr>
        <w:t xml:space="preserve">See </w:t>
      </w:r>
      <w:r w:rsidRPr="00E53E52">
        <w:rPr>
          <w:rFonts w:ascii="Century Schoolbook" w:hAnsi="Century Schoolbook"/>
          <w:i/>
          <w:iCs/>
          <w:color w:val="000000" w:themeColor="text1"/>
        </w:rPr>
        <w:t>Matter of D–J–,</w:t>
      </w:r>
      <w:r w:rsidRPr="00E53E52">
        <w:rPr>
          <w:rFonts w:ascii="Century Schoolbook" w:hAnsi="Century Schoolbook"/>
          <w:color w:val="000000" w:themeColor="text1"/>
        </w:rPr>
        <w:t xml:space="preserve"> 23 I. &amp; N. Dec. 572 (2003).</w:t>
      </w:r>
      <w:r w:rsidR="00810FDA" w:rsidRPr="00E53E52">
        <w:rPr>
          <w:rFonts w:ascii="Century Schoolbook" w:hAnsi="Century Schoolbook"/>
          <w:color w:val="000000" w:themeColor="text1"/>
        </w:rPr>
        <w:t xml:space="preserve"> </w:t>
      </w:r>
    </w:p>
    <w:p w14:paraId="176F9323" w14:textId="47035DA8" w:rsidR="00E42CE4" w:rsidRPr="00E53E52" w:rsidRDefault="00E42CE4" w:rsidP="0036367F">
      <w:pPr>
        <w:spacing w:after="120"/>
        <w:ind w:firstLine="720"/>
        <w:jc w:val="both"/>
        <w:rPr>
          <w:rFonts w:ascii="Century Schoolbook" w:hAnsi="Century Schoolbook"/>
          <w:color w:val="000000" w:themeColor="text1"/>
        </w:rPr>
      </w:pPr>
      <w:r w:rsidRPr="00E53E52">
        <w:rPr>
          <w:rFonts w:ascii="Century Schoolbook" w:hAnsi="Century Schoolbook"/>
          <w:color w:val="000000" w:themeColor="text1"/>
        </w:rPr>
        <w:t>One federal district court agreed with the government that the detainees were not covered by the Constitution</w:t>
      </w:r>
      <w:r w:rsidR="00C909C4" w:rsidRPr="00E53E52">
        <w:rPr>
          <w:rFonts w:ascii="Century Schoolbook" w:hAnsi="Century Schoolbook"/>
          <w:color w:val="000000" w:themeColor="text1"/>
        </w:rPr>
        <w:t>’</w:t>
      </w:r>
      <w:r w:rsidRPr="00E53E52">
        <w:rPr>
          <w:rFonts w:ascii="Century Schoolbook" w:hAnsi="Century Schoolbook"/>
          <w:color w:val="000000" w:themeColor="text1"/>
        </w:rPr>
        <w:t xml:space="preserve">s guarantee of due process. </w:t>
      </w:r>
      <w:r w:rsidRPr="00E53E52">
        <w:rPr>
          <w:rFonts w:ascii="Century Schoolbook" w:hAnsi="Century Schoolbook"/>
          <w:i/>
          <w:color w:val="000000" w:themeColor="text1"/>
        </w:rPr>
        <w:t>M.S.P.C. v. U.S. Customs and Border Protection</w:t>
      </w:r>
      <w:r w:rsidRPr="00E53E52">
        <w:rPr>
          <w:rFonts w:ascii="Century Schoolbook" w:hAnsi="Century Schoolbook"/>
          <w:color w:val="000000" w:themeColor="text1"/>
        </w:rPr>
        <w:t>, 2014 WL 6476125, at *20, *24-30 (D.N.M. Oct. 16</w:t>
      </w:r>
      <w:r w:rsidR="00861C13" w:rsidRPr="00E53E52">
        <w:rPr>
          <w:rFonts w:ascii="Century Schoolbook" w:hAnsi="Century Schoolbook"/>
          <w:color w:val="000000" w:themeColor="text1"/>
        </w:rPr>
        <w:t>,</w:t>
      </w:r>
      <w:r w:rsidRPr="00E53E52">
        <w:rPr>
          <w:rFonts w:ascii="Century Schoolbook" w:hAnsi="Century Schoolbook"/>
          <w:color w:val="000000" w:themeColor="text1"/>
        </w:rPr>
        <w:t xml:space="preserve"> 2014). Another rejected that argument and enjoined the government from detaining the families if the basis for detention was the deterrence of others.</w:t>
      </w:r>
      <w:r w:rsidR="00810FDA" w:rsidRPr="00E53E52">
        <w:rPr>
          <w:rFonts w:ascii="Century Schoolbook" w:hAnsi="Century Schoolbook"/>
          <w:color w:val="000000" w:themeColor="text1"/>
        </w:rPr>
        <w:t xml:space="preserve"> </w:t>
      </w:r>
      <w:r w:rsidRPr="00E53E52">
        <w:rPr>
          <w:rFonts w:ascii="Century Schoolbook" w:hAnsi="Century Schoolbook"/>
          <w:i/>
          <w:color w:val="000000" w:themeColor="text1"/>
        </w:rPr>
        <w:t>R.I.L-R v. Johnson</w:t>
      </w:r>
      <w:r w:rsidRPr="00E53E52">
        <w:rPr>
          <w:rFonts w:ascii="Century Schoolbook" w:hAnsi="Century Schoolbook"/>
          <w:color w:val="000000" w:themeColor="text1"/>
        </w:rPr>
        <w:t>, 2015 WL 737117 (D.D.C. 2015).</w:t>
      </w:r>
      <w:r w:rsidR="00810FDA" w:rsidRPr="00E53E52">
        <w:rPr>
          <w:rFonts w:ascii="Century Schoolbook" w:hAnsi="Century Schoolbook"/>
          <w:color w:val="000000" w:themeColor="text1"/>
        </w:rPr>
        <w:t xml:space="preserve"> </w:t>
      </w:r>
    </w:p>
    <w:p w14:paraId="2E6C5D3D" w14:textId="0F4AC8CD" w:rsidR="00E42CE4" w:rsidRPr="00E53E52" w:rsidRDefault="00E42CE4" w:rsidP="001D1D6E">
      <w:pPr>
        <w:spacing w:after="120"/>
        <w:ind w:firstLine="720"/>
        <w:jc w:val="both"/>
        <w:rPr>
          <w:rFonts w:ascii="Century Schoolbook" w:hAnsi="Century Schoolbook"/>
          <w:color w:val="000000" w:themeColor="text1"/>
        </w:rPr>
      </w:pPr>
      <w:r w:rsidRPr="00E53E52">
        <w:rPr>
          <w:rFonts w:ascii="Century Schoolbook" w:hAnsi="Century Schoolbook"/>
          <w:color w:val="000000" w:themeColor="text1"/>
        </w:rPr>
        <w:t>Underlying the decision to institute detention and speedy deportation processing was an expectation that few, if any, of the mothers and children would establish meritorious asylum cases.</w:t>
      </w:r>
      <w:r w:rsidR="00810FDA" w:rsidRPr="00E53E52">
        <w:rPr>
          <w:rFonts w:ascii="Century Schoolbook" w:hAnsi="Century Schoolbook"/>
          <w:color w:val="000000" w:themeColor="text1"/>
        </w:rPr>
        <w:t xml:space="preserve"> </w:t>
      </w:r>
      <w:r w:rsidRPr="00E53E52">
        <w:rPr>
          <w:rFonts w:ascii="Century Schoolbook" w:hAnsi="Century Schoolbook"/>
          <w:i/>
          <w:color w:val="000000" w:themeColor="text1"/>
        </w:rPr>
        <w:t xml:space="preserve">See </w:t>
      </w:r>
      <w:r w:rsidRPr="00E53E52">
        <w:rPr>
          <w:rFonts w:ascii="Century Schoolbook" w:hAnsi="Century Schoolbook"/>
          <w:color w:val="000000" w:themeColor="text1"/>
        </w:rPr>
        <w:t xml:space="preserve">Remarks to the Press with Q&amp;A by Vice President Joe Biden in Guatemala, </w:t>
      </w:r>
      <w:r w:rsidRPr="00E53E52">
        <w:rPr>
          <w:rFonts w:ascii="Century Schoolbook" w:hAnsi="Century Schoolbook"/>
        </w:rPr>
        <w:t>https://www.whitehouse.gov/the-press-office/2014/06/20/remarks-press-qa-vice-president-joe-biden-guatemala</w:t>
      </w:r>
      <w:r w:rsidRPr="00E53E52">
        <w:rPr>
          <w:rFonts w:ascii="Century Schoolbook" w:hAnsi="Century Schoolbook"/>
          <w:color w:val="000000" w:themeColor="text1"/>
        </w:rPr>
        <w:t xml:space="preserve">, June 20, 2014 (predicting that the </w:t>
      </w:r>
      <w:r w:rsidR="00C909C4" w:rsidRPr="00E53E52">
        <w:rPr>
          <w:rFonts w:ascii="Century Schoolbook" w:hAnsi="Century Schoolbook"/>
          <w:color w:val="000000" w:themeColor="text1"/>
        </w:rPr>
        <w:t>“</w:t>
      </w:r>
      <w:r w:rsidRPr="00E53E52">
        <w:rPr>
          <w:rFonts w:ascii="Century Schoolbook" w:hAnsi="Century Schoolbook"/>
          <w:color w:val="000000" w:themeColor="text1"/>
        </w:rPr>
        <w:t>vast majority</w:t>
      </w:r>
      <w:r w:rsidR="00C909C4" w:rsidRPr="00E53E52">
        <w:rPr>
          <w:rFonts w:ascii="Century Schoolbook" w:hAnsi="Century Schoolbook"/>
          <w:color w:val="000000" w:themeColor="text1"/>
        </w:rPr>
        <w:t>”</w:t>
      </w:r>
      <w:r w:rsidRPr="00E53E52">
        <w:rPr>
          <w:rFonts w:ascii="Century Schoolbook" w:hAnsi="Century Schoolbook"/>
          <w:color w:val="000000" w:themeColor="text1"/>
        </w:rPr>
        <w:t xml:space="preserve"> of detainees would be denied asylum and removed).</w:t>
      </w:r>
      <w:r w:rsidR="00810FDA" w:rsidRPr="00E53E52">
        <w:rPr>
          <w:rFonts w:ascii="Century Schoolbook" w:hAnsi="Century Schoolbook"/>
          <w:color w:val="000000" w:themeColor="text1"/>
        </w:rPr>
        <w:t xml:space="preserve"> </w:t>
      </w:r>
      <w:r w:rsidRPr="00E53E52">
        <w:rPr>
          <w:rFonts w:ascii="Century Schoolbook" w:hAnsi="Century Schoolbook"/>
          <w:color w:val="000000" w:themeColor="text1"/>
        </w:rPr>
        <w:t>Aided by the BIA</w:t>
      </w:r>
      <w:r w:rsidR="00C909C4" w:rsidRPr="00E53E52">
        <w:rPr>
          <w:rFonts w:ascii="Century Schoolbook" w:hAnsi="Century Schoolbook"/>
          <w:color w:val="000000" w:themeColor="text1"/>
        </w:rPr>
        <w:t>’</w:t>
      </w:r>
      <w:r w:rsidRPr="00E53E52">
        <w:rPr>
          <w:rFonts w:ascii="Century Schoolbook" w:hAnsi="Century Schoolbook"/>
          <w:color w:val="000000" w:themeColor="text1"/>
        </w:rPr>
        <w:t xml:space="preserve">s issuance of </w:t>
      </w:r>
      <w:r w:rsidRPr="00E53E52">
        <w:rPr>
          <w:rFonts w:ascii="Century Schoolbook" w:hAnsi="Century Schoolbook"/>
          <w:i/>
          <w:color w:val="000000" w:themeColor="text1"/>
        </w:rPr>
        <w:t xml:space="preserve">Matter of A-R-C-G-, </w:t>
      </w:r>
      <w:r w:rsidRPr="00E53E52">
        <w:rPr>
          <w:rFonts w:ascii="Century Schoolbook" w:hAnsi="Century Schoolbook"/>
          <w:color w:val="000000" w:themeColor="text1"/>
        </w:rPr>
        <w:t>26 I&amp;N Dec. 388 (BIA 2014) recognizing domestic violence as a basis for asylum, fourteen of the fifteen families who went forward with asylum claims in the fall of 2014 prevailed on the merits.</w:t>
      </w:r>
      <w:r w:rsidR="00810FDA" w:rsidRPr="00E53E52">
        <w:rPr>
          <w:rFonts w:ascii="Century Schoolbook" w:hAnsi="Century Schoolbook"/>
          <w:color w:val="000000" w:themeColor="text1"/>
        </w:rPr>
        <w:t xml:space="preserve"> </w:t>
      </w:r>
      <w:r w:rsidRPr="00E53E52">
        <w:rPr>
          <w:rFonts w:ascii="Century Schoolbook" w:hAnsi="Century Schoolbook"/>
          <w:i/>
          <w:color w:val="000000" w:themeColor="text1"/>
        </w:rPr>
        <w:t xml:space="preserve">See </w:t>
      </w:r>
      <w:r w:rsidRPr="00E53E52">
        <w:rPr>
          <w:rFonts w:ascii="Century Schoolbook" w:hAnsi="Century Schoolbook"/>
          <w:color w:val="000000" w:themeColor="text1"/>
        </w:rPr>
        <w:t xml:space="preserve">Manning, </w:t>
      </w:r>
      <w:r w:rsidRPr="00E53E52">
        <w:rPr>
          <w:rFonts w:ascii="Century Schoolbook" w:hAnsi="Century Schoolbook"/>
          <w:i/>
          <w:color w:val="000000" w:themeColor="text1"/>
        </w:rPr>
        <w:t>supra</w:t>
      </w:r>
      <w:r w:rsidRPr="00E53E52">
        <w:rPr>
          <w:rFonts w:ascii="Century Schoolbook" w:hAnsi="Century Schoolbook"/>
          <w:color w:val="000000" w:themeColor="text1"/>
        </w:rPr>
        <w:t xml:space="preserve"> at Chap. XIV.</w:t>
      </w:r>
      <w:r w:rsidR="00810FDA" w:rsidRPr="00E53E52">
        <w:rPr>
          <w:rFonts w:ascii="Century Schoolbook" w:hAnsi="Century Schoolbook"/>
          <w:color w:val="000000" w:themeColor="text1"/>
        </w:rPr>
        <w:t xml:space="preserve"> </w:t>
      </w:r>
      <w:r w:rsidRPr="00E53E52">
        <w:rPr>
          <w:rFonts w:ascii="Century Schoolbook" w:hAnsi="Century Schoolbook"/>
          <w:color w:val="000000" w:themeColor="text1"/>
        </w:rPr>
        <w:t>Average bond amounts at the Texas facilities dropped as immigration judges consistently reduced ICE</w:t>
      </w:r>
      <w:r w:rsidR="00C909C4" w:rsidRPr="00E53E52">
        <w:rPr>
          <w:rFonts w:ascii="Century Schoolbook" w:hAnsi="Century Schoolbook"/>
          <w:color w:val="000000" w:themeColor="text1"/>
        </w:rPr>
        <w:t>’</w:t>
      </w:r>
      <w:r w:rsidRPr="00E53E52">
        <w:rPr>
          <w:rFonts w:ascii="Century Schoolbook" w:hAnsi="Century Schoolbook"/>
          <w:color w:val="000000" w:themeColor="text1"/>
        </w:rPr>
        <w:t>s initial bond determinations, and release through conditional parole became more common.</w:t>
      </w:r>
      <w:r w:rsidR="00810FDA" w:rsidRPr="00E53E52">
        <w:rPr>
          <w:rFonts w:ascii="Century Schoolbook" w:hAnsi="Century Schoolbook"/>
          <w:color w:val="000000" w:themeColor="text1"/>
        </w:rPr>
        <w:t xml:space="preserve"> </w:t>
      </w:r>
    </w:p>
    <w:p w14:paraId="0E41B77E" w14:textId="65588962" w:rsidR="00E42CE4" w:rsidRPr="00E53E52" w:rsidRDefault="00E42CE4" w:rsidP="001D1D6E">
      <w:pPr>
        <w:spacing w:after="120"/>
        <w:ind w:firstLine="720"/>
        <w:jc w:val="both"/>
        <w:rPr>
          <w:rFonts w:ascii="Century Schoolbook" w:hAnsi="Century Schoolbook"/>
          <w:color w:val="000000" w:themeColor="text1"/>
        </w:rPr>
      </w:pPr>
      <w:r w:rsidRPr="00E53E52">
        <w:rPr>
          <w:rFonts w:ascii="Century Schoolbook" w:hAnsi="Century Schoolbook"/>
          <w:color w:val="000000" w:themeColor="text1"/>
        </w:rPr>
        <w:t xml:space="preserve">Detainees acknowledged that the new detention facilities were an improvement over the holding cells at the border, nicknamed </w:t>
      </w:r>
      <w:r w:rsidRPr="00E53E52">
        <w:rPr>
          <w:rFonts w:ascii="Century Schoolbook" w:hAnsi="Century Schoolbook"/>
          <w:i/>
          <w:color w:val="000000" w:themeColor="text1"/>
        </w:rPr>
        <w:t>hieleras</w:t>
      </w:r>
      <w:r w:rsidRPr="00E53E52">
        <w:rPr>
          <w:rFonts w:ascii="Century Schoolbook" w:hAnsi="Century Schoolbook"/>
          <w:color w:val="000000" w:themeColor="text1"/>
        </w:rPr>
        <w:t xml:space="preserve"> (iceboxes) for their temperature settings and </w:t>
      </w:r>
      <w:r w:rsidRPr="00E53E52">
        <w:rPr>
          <w:rFonts w:ascii="Century Schoolbook" w:hAnsi="Century Schoolbook"/>
          <w:i/>
          <w:color w:val="000000" w:themeColor="text1"/>
        </w:rPr>
        <w:t>perreras</w:t>
      </w:r>
      <w:r w:rsidRPr="00E53E52">
        <w:rPr>
          <w:rFonts w:ascii="Century Schoolbook" w:hAnsi="Century Schoolbook"/>
          <w:color w:val="000000" w:themeColor="text1"/>
        </w:rPr>
        <w:t xml:space="preserve"> (dog kennels) after their chain-link box construction.</w:t>
      </w:r>
      <w:r w:rsidR="00810FDA" w:rsidRPr="00E53E52">
        <w:rPr>
          <w:rFonts w:ascii="Century Schoolbook" w:hAnsi="Century Schoolbook"/>
          <w:color w:val="000000" w:themeColor="text1"/>
        </w:rPr>
        <w:t xml:space="preserve"> </w:t>
      </w:r>
      <w:r w:rsidRPr="00E53E52">
        <w:rPr>
          <w:rFonts w:ascii="Century Schoolbook" w:hAnsi="Century Schoolbook"/>
          <w:i/>
          <w:color w:val="000000" w:themeColor="text1"/>
        </w:rPr>
        <w:t>See Flores v. Lynch</w:t>
      </w:r>
      <w:r w:rsidRPr="00E53E52">
        <w:rPr>
          <w:rFonts w:ascii="Century Schoolbook" w:hAnsi="Century Schoolbook"/>
          <w:color w:val="000000" w:themeColor="text1"/>
        </w:rPr>
        <w:t>, No. CV 85-04544 DMG, at 16 (July 24, 2015).</w:t>
      </w:r>
      <w:r w:rsidR="00810FDA" w:rsidRPr="00E53E52">
        <w:rPr>
          <w:rFonts w:ascii="Century Schoolbook" w:hAnsi="Century Schoolbook"/>
          <w:color w:val="000000" w:themeColor="text1"/>
        </w:rPr>
        <w:t xml:space="preserve"> </w:t>
      </w:r>
      <w:r w:rsidRPr="00E53E52">
        <w:rPr>
          <w:rFonts w:ascii="Century Schoolbook" w:hAnsi="Century Schoolbook"/>
          <w:color w:val="000000" w:themeColor="text1"/>
        </w:rPr>
        <w:t>The new detention facilities featured playgrounds, a school, a basketball gym, and a medical clinic.</w:t>
      </w:r>
      <w:r w:rsidR="00810FDA" w:rsidRPr="00E53E52">
        <w:rPr>
          <w:rFonts w:ascii="Century Schoolbook" w:hAnsi="Century Schoolbook"/>
          <w:color w:val="000000" w:themeColor="text1"/>
        </w:rPr>
        <w:t xml:space="preserve"> </w:t>
      </w:r>
      <w:r w:rsidRPr="00E53E52">
        <w:rPr>
          <w:rFonts w:ascii="Century Schoolbook" w:hAnsi="Century Schoolbook"/>
          <w:color w:val="000000" w:themeColor="text1"/>
        </w:rPr>
        <w:t>However, evidence mounted of psychological deterioration of the detained women and children.</w:t>
      </w:r>
      <w:r w:rsidR="00810FDA" w:rsidRPr="00E53E52">
        <w:rPr>
          <w:rFonts w:ascii="Century Schoolbook" w:hAnsi="Century Schoolbook"/>
          <w:color w:val="000000" w:themeColor="text1"/>
        </w:rPr>
        <w:t xml:space="preserve"> </w:t>
      </w:r>
      <w:r w:rsidRPr="00E53E52">
        <w:rPr>
          <w:rFonts w:ascii="Century Schoolbook" w:hAnsi="Century Schoolbook"/>
          <w:color w:val="000000" w:themeColor="text1"/>
        </w:rPr>
        <w:t>Allegations of substandard medical care by the private contractors appeared in the media, increasing the pressure on the Administration to back away from detention as a solution to the presence of families at the border.</w:t>
      </w:r>
      <w:r w:rsidR="00810FDA" w:rsidRPr="00E53E52">
        <w:rPr>
          <w:rFonts w:ascii="Century Schoolbook" w:hAnsi="Century Schoolbook"/>
          <w:color w:val="000000" w:themeColor="text1"/>
        </w:rPr>
        <w:t xml:space="preserve"> </w:t>
      </w:r>
      <w:r w:rsidRPr="00E53E52">
        <w:rPr>
          <w:rFonts w:ascii="Century Schoolbook" w:hAnsi="Century Schoolbook"/>
          <w:i/>
          <w:color w:val="000000" w:themeColor="text1"/>
        </w:rPr>
        <w:t xml:space="preserve">See </w:t>
      </w:r>
      <w:r w:rsidR="00EC1010" w:rsidRPr="00E53E52">
        <w:rPr>
          <w:rFonts w:ascii="Century Schoolbook" w:hAnsi="Century Schoolbook"/>
          <w:color w:val="000000" w:themeColor="text1"/>
        </w:rPr>
        <w:t xml:space="preserve">Julia </w:t>
      </w:r>
      <w:r w:rsidRPr="00E53E52">
        <w:rPr>
          <w:rFonts w:ascii="Century Schoolbook" w:hAnsi="Century Schoolbook"/>
          <w:color w:val="000000" w:themeColor="text1"/>
        </w:rPr>
        <w:t>Preston,</w:t>
      </w:r>
      <w:r w:rsidRPr="00E53E52">
        <w:rPr>
          <w:rFonts w:ascii="Century Schoolbook" w:hAnsi="Century Schoolbook"/>
          <w:i/>
          <w:color w:val="000000" w:themeColor="text1"/>
        </w:rPr>
        <w:t xml:space="preserve"> </w:t>
      </w:r>
      <w:r w:rsidRPr="00E53E52">
        <w:rPr>
          <w:rFonts w:ascii="Century Schoolbook" w:hAnsi="Century Schoolbook"/>
          <w:i/>
          <w:iCs/>
          <w:color w:val="000000" w:themeColor="text1"/>
        </w:rPr>
        <w:t xml:space="preserve">Hope and Despair as Families Languish in Texas Immigration Centers, </w:t>
      </w:r>
      <w:r w:rsidRPr="00E53E52">
        <w:rPr>
          <w:rFonts w:ascii="Century Schoolbook" w:hAnsi="Century Schoolbook"/>
          <w:i/>
          <w:iCs/>
          <w:smallCaps/>
          <w:color w:val="000000" w:themeColor="text1"/>
        </w:rPr>
        <w:t>N</w:t>
      </w:r>
      <w:r w:rsidRPr="00E53E52">
        <w:rPr>
          <w:rFonts w:ascii="Century Schoolbook" w:hAnsi="Century Schoolbook"/>
          <w:iCs/>
          <w:smallCaps/>
          <w:color w:val="000000" w:themeColor="text1"/>
        </w:rPr>
        <w:t xml:space="preserve">.Y. Times, </w:t>
      </w:r>
      <w:r w:rsidRPr="00E53E52">
        <w:rPr>
          <w:rFonts w:ascii="Century Schoolbook" w:hAnsi="Century Schoolbook"/>
          <w:iCs/>
          <w:color w:val="000000" w:themeColor="text1"/>
        </w:rPr>
        <w:t>June 14, 2015;</w:t>
      </w:r>
      <w:r w:rsidRPr="00E53E52">
        <w:rPr>
          <w:rFonts w:ascii="Century Schoolbook" w:hAnsi="Century Schoolbook"/>
          <w:color w:val="000000" w:themeColor="text1"/>
        </w:rPr>
        <w:t xml:space="preserve"> Lucas, et al, </w:t>
      </w:r>
      <w:r w:rsidRPr="00E53E52">
        <w:rPr>
          <w:rFonts w:ascii="Century Schoolbook" w:hAnsi="Century Schoolbook"/>
          <w:i/>
          <w:color w:val="000000" w:themeColor="text1"/>
        </w:rPr>
        <w:t>Letter to Megan Mack re The Psychological Impact of Family Detention on Mothers and Children Seeking Asylum</w:t>
      </w:r>
      <w:r w:rsidRPr="00E53E52">
        <w:rPr>
          <w:rFonts w:ascii="Century Schoolbook" w:hAnsi="Century Schoolbook"/>
          <w:color w:val="000000" w:themeColor="text1"/>
        </w:rPr>
        <w:t xml:space="preserve">, </w:t>
      </w:r>
      <w:r w:rsidRPr="00E53E52">
        <w:rPr>
          <w:rFonts w:ascii="Century Schoolbook" w:hAnsi="Century Schoolbook"/>
        </w:rPr>
        <w:lastRenderedPageBreak/>
        <w:t>https://womensrefugeecommission.org/images/zdocs/CRCL-Complaint-Psych-Impact-of-Family-Detention.pdf</w:t>
      </w:r>
      <w:r w:rsidRPr="00E53E52">
        <w:rPr>
          <w:rFonts w:ascii="Century Schoolbook" w:hAnsi="Century Schoolbook"/>
          <w:color w:val="000000" w:themeColor="text1"/>
        </w:rPr>
        <w:t>, June 30, 2015 (summarizing academic research on the mental health impacts of detaining asylum seekers and the psychological evaluations of nine detained women and their children).</w:t>
      </w:r>
    </w:p>
    <w:p w14:paraId="0A291772" w14:textId="21D18461" w:rsidR="00E42CE4" w:rsidRPr="00E53E52" w:rsidRDefault="00E42CE4" w:rsidP="001D1D6E">
      <w:pPr>
        <w:spacing w:after="120"/>
        <w:ind w:firstLine="720"/>
        <w:jc w:val="both"/>
        <w:rPr>
          <w:rFonts w:ascii="Century Schoolbook" w:hAnsi="Century Schoolbook"/>
          <w:i/>
          <w:color w:val="000000" w:themeColor="text1"/>
        </w:rPr>
      </w:pPr>
      <w:r w:rsidRPr="00E53E52">
        <w:rPr>
          <w:rFonts w:ascii="Century Schoolbook" w:hAnsi="Century Schoolbook"/>
          <w:color w:val="000000" w:themeColor="text1"/>
        </w:rPr>
        <w:t>In May and June 2015, the Administration announced a softening of its strict position on releasing the detainees, promising to review the cases of mothers and children detained for longer than 90 days and to release those who had established a credible fear or reasonable fear of return.</w:t>
      </w:r>
      <w:r w:rsidR="00810FDA" w:rsidRPr="00E53E52">
        <w:rPr>
          <w:rFonts w:ascii="Century Schoolbook" w:hAnsi="Century Schoolbook"/>
          <w:color w:val="000000" w:themeColor="text1"/>
        </w:rPr>
        <w:t xml:space="preserve"> </w:t>
      </w:r>
      <w:r w:rsidRPr="00E53E52">
        <w:rPr>
          <w:rFonts w:ascii="Century Schoolbook" w:hAnsi="Century Schoolbook"/>
          <w:color w:val="000000" w:themeColor="text1"/>
        </w:rPr>
        <w:t>Nevertheless, in August 2015, a federal district court in California ruled that the agency</w:t>
      </w:r>
      <w:r w:rsidR="00C909C4" w:rsidRPr="00E53E52">
        <w:rPr>
          <w:rFonts w:ascii="Century Schoolbook" w:hAnsi="Century Schoolbook"/>
          <w:color w:val="000000" w:themeColor="text1"/>
        </w:rPr>
        <w:t>’</w:t>
      </w:r>
      <w:r w:rsidRPr="00E53E52">
        <w:rPr>
          <w:rFonts w:ascii="Century Schoolbook" w:hAnsi="Century Schoolbook"/>
          <w:color w:val="000000" w:themeColor="text1"/>
        </w:rPr>
        <w:t>s detention policy violated a decades-old consent decree that prohibited DHS from detaining minors in secure, unlicensed facilities and required DHS to place children with a suitable relative</w:t>
      </w:r>
      <w:r w:rsidR="00C01DA5" w:rsidRPr="00E53E52">
        <w:rPr>
          <w:rFonts w:ascii="Century Schoolbook" w:hAnsi="Century Schoolbook"/>
          <w:color w:val="000000" w:themeColor="text1"/>
        </w:rPr>
        <w:t>—e</w:t>
      </w:r>
      <w:r w:rsidR="00084667" w:rsidRPr="00E53E52">
        <w:rPr>
          <w:rFonts w:ascii="Century Schoolbook" w:hAnsi="Century Schoolbook"/>
          <w:color w:val="000000" w:themeColor="text1"/>
        </w:rPr>
        <w:t>ven</w:t>
      </w:r>
      <w:r w:rsidR="00C01DA5" w:rsidRPr="00E53E52">
        <w:rPr>
          <w:rFonts w:ascii="Century Schoolbook" w:hAnsi="Century Schoolbook"/>
          <w:color w:val="000000" w:themeColor="text1"/>
        </w:rPr>
        <w:t xml:space="preserve"> </w:t>
      </w:r>
      <w:r w:rsidRPr="00E53E52">
        <w:rPr>
          <w:rFonts w:ascii="Century Schoolbook" w:hAnsi="Century Schoolbook"/>
          <w:color w:val="000000" w:themeColor="text1"/>
        </w:rPr>
        <w:t xml:space="preserve">if that meant releasing the accompanying parent. </w:t>
      </w:r>
      <w:r w:rsidRPr="00E53E52">
        <w:rPr>
          <w:rFonts w:ascii="Century Schoolbook" w:hAnsi="Century Schoolbook"/>
          <w:i/>
          <w:color w:val="000000" w:themeColor="text1"/>
        </w:rPr>
        <w:t>Flores v. Lynch</w:t>
      </w:r>
      <w:r w:rsidRPr="00E53E52">
        <w:rPr>
          <w:rFonts w:ascii="Century Schoolbook" w:hAnsi="Century Schoolbook"/>
          <w:color w:val="000000" w:themeColor="text1"/>
        </w:rPr>
        <w:t>, No. CV 85-04544 DMG (Aug. 21, 2015).</w:t>
      </w:r>
    </w:p>
    <w:p w14:paraId="65752C81" w14:textId="02DEC0BD" w:rsidR="00E42CE4" w:rsidRPr="00E53E52" w:rsidRDefault="000E28EC" w:rsidP="001D1D6E">
      <w:pPr>
        <w:spacing w:after="120"/>
        <w:ind w:firstLine="720"/>
        <w:jc w:val="both"/>
        <w:rPr>
          <w:rFonts w:ascii="Century Schoolbook" w:hAnsi="Century Schoolbook"/>
          <w:color w:val="000000" w:themeColor="text1"/>
        </w:rPr>
      </w:pPr>
      <w:r w:rsidRPr="00E53E52">
        <w:rPr>
          <w:rFonts w:ascii="Century Schoolbook" w:hAnsi="Century Schoolbook"/>
          <w:color w:val="000000" w:themeColor="text1"/>
        </w:rPr>
        <w:t>In July 2016, the Ninth Circuit affirmed the district court</w:t>
      </w:r>
      <w:r w:rsidR="00C909C4" w:rsidRPr="00E53E52">
        <w:rPr>
          <w:rFonts w:ascii="Century Schoolbook" w:hAnsi="Century Schoolbook"/>
          <w:color w:val="000000" w:themeColor="text1"/>
        </w:rPr>
        <w:t>’</w:t>
      </w:r>
      <w:r w:rsidRPr="00E53E52">
        <w:rPr>
          <w:rFonts w:ascii="Century Schoolbook" w:hAnsi="Century Schoolbook"/>
          <w:color w:val="000000" w:themeColor="text1"/>
        </w:rPr>
        <w:t xml:space="preserve">s ruling that the </w:t>
      </w:r>
      <w:r w:rsidR="007C59A4" w:rsidRPr="00E53E52">
        <w:rPr>
          <w:rFonts w:ascii="Century Schoolbook" w:hAnsi="Century Schoolbook"/>
          <w:color w:val="000000" w:themeColor="text1"/>
        </w:rPr>
        <w:t xml:space="preserve">earlier </w:t>
      </w:r>
      <w:r w:rsidR="00204B4F" w:rsidRPr="00E53E52">
        <w:rPr>
          <w:rFonts w:ascii="Century Schoolbook" w:hAnsi="Century Schoolbook"/>
          <w:color w:val="000000" w:themeColor="text1"/>
        </w:rPr>
        <w:t xml:space="preserve">settlement concerning detention of minors applied to </w:t>
      </w:r>
      <w:r w:rsidR="00F01EA8" w:rsidRPr="00E53E52">
        <w:rPr>
          <w:rFonts w:ascii="Century Schoolbook" w:hAnsi="Century Schoolbook"/>
          <w:color w:val="000000" w:themeColor="text1"/>
        </w:rPr>
        <w:t>both unaccompanied children and to children accompanied by their parents</w:t>
      </w:r>
      <w:r w:rsidR="00E42CE4" w:rsidRPr="00E53E52">
        <w:rPr>
          <w:rFonts w:ascii="Century Schoolbook" w:hAnsi="Century Schoolbook"/>
          <w:color w:val="000000" w:themeColor="text1"/>
        </w:rPr>
        <w:t>.</w:t>
      </w:r>
      <w:r w:rsidR="00810FDA" w:rsidRPr="00E53E52">
        <w:rPr>
          <w:rFonts w:ascii="Century Schoolbook" w:hAnsi="Century Schoolbook"/>
          <w:color w:val="000000" w:themeColor="text1"/>
        </w:rPr>
        <w:t xml:space="preserve"> </w:t>
      </w:r>
      <w:r w:rsidR="002E52E0" w:rsidRPr="00E53E52">
        <w:rPr>
          <w:rFonts w:ascii="Century Schoolbook" w:hAnsi="Century Schoolbook"/>
          <w:color w:val="000000" w:themeColor="text1"/>
        </w:rPr>
        <w:t>The appellate court, however, overturned the district court</w:t>
      </w:r>
      <w:r w:rsidR="00C909C4" w:rsidRPr="00E53E52">
        <w:rPr>
          <w:rFonts w:ascii="Century Schoolbook" w:hAnsi="Century Schoolbook"/>
          <w:color w:val="000000" w:themeColor="text1"/>
        </w:rPr>
        <w:t>’</w:t>
      </w:r>
      <w:r w:rsidR="002E52E0" w:rsidRPr="00E53E52">
        <w:rPr>
          <w:rFonts w:ascii="Century Schoolbook" w:hAnsi="Century Schoolbook"/>
          <w:color w:val="000000" w:themeColor="text1"/>
        </w:rPr>
        <w:t xml:space="preserve">s ruling that </w:t>
      </w:r>
      <w:r w:rsidR="007C59A4" w:rsidRPr="00E53E52">
        <w:rPr>
          <w:rFonts w:ascii="Century Schoolbook" w:hAnsi="Century Schoolbook"/>
          <w:color w:val="000000" w:themeColor="text1"/>
        </w:rPr>
        <w:t xml:space="preserve">the settlement provided release rights to the </w:t>
      </w:r>
      <w:r w:rsidR="002E52E0" w:rsidRPr="00E53E52">
        <w:rPr>
          <w:rFonts w:ascii="Century Schoolbook" w:hAnsi="Century Schoolbook"/>
          <w:color w:val="000000" w:themeColor="text1"/>
        </w:rPr>
        <w:t xml:space="preserve">adults </w:t>
      </w:r>
      <w:r w:rsidR="007C59A4" w:rsidRPr="00E53E52">
        <w:rPr>
          <w:rFonts w:ascii="Century Schoolbook" w:hAnsi="Century Schoolbook"/>
          <w:color w:val="000000" w:themeColor="text1"/>
        </w:rPr>
        <w:t>accompanying their children.</w:t>
      </w:r>
      <w:r w:rsidR="00810FDA" w:rsidRPr="00E53E52">
        <w:rPr>
          <w:rFonts w:ascii="Century Schoolbook" w:hAnsi="Century Schoolbook"/>
          <w:color w:val="000000" w:themeColor="text1"/>
        </w:rPr>
        <w:t xml:space="preserve"> </w:t>
      </w:r>
      <w:r w:rsidR="00261DF0" w:rsidRPr="00E53E52">
        <w:rPr>
          <w:rFonts w:ascii="Century Schoolbook" w:hAnsi="Century Schoolbook"/>
          <w:i/>
        </w:rPr>
        <w:t>See</w:t>
      </w:r>
      <w:r w:rsidR="00261DF0" w:rsidRPr="00E53E52">
        <w:rPr>
          <w:rFonts w:ascii="Century Schoolbook" w:hAnsi="Century Schoolbook"/>
        </w:rPr>
        <w:t> </w:t>
      </w:r>
      <w:r w:rsidR="00261DF0" w:rsidRPr="00E53E52">
        <w:rPr>
          <w:rFonts w:ascii="Century Schoolbook" w:hAnsi="Century Schoolbook"/>
          <w:i/>
        </w:rPr>
        <w:t>Flores v. Lynch</w:t>
      </w:r>
      <w:r w:rsidR="00261DF0" w:rsidRPr="00E53E52">
        <w:rPr>
          <w:rFonts w:ascii="Century Schoolbook" w:hAnsi="Century Schoolbook"/>
        </w:rPr>
        <w:t>, 828 F.3d 898 (9th Cir. 2016).</w:t>
      </w:r>
    </w:p>
    <w:p w14:paraId="6514059C" w14:textId="0AC91E64" w:rsidR="00261DF0" w:rsidRPr="00E53E52" w:rsidRDefault="00261DF0" w:rsidP="00261DF0">
      <w:pPr>
        <w:pStyle w:val="BodyText"/>
        <w:widowControl/>
        <w:ind w:firstLine="720"/>
        <w:rPr>
          <w:rFonts w:ascii="Century Schoolbook" w:hAnsi="Century Schoolbook"/>
          <w:i/>
        </w:rPr>
      </w:pPr>
      <w:r w:rsidRPr="00E53E52">
        <w:rPr>
          <w:rFonts w:ascii="Century Schoolbook" w:hAnsi="Century Schoolbook"/>
        </w:rPr>
        <w:t xml:space="preserve">The </w:t>
      </w:r>
      <w:r w:rsidRPr="00E53E52">
        <w:rPr>
          <w:rFonts w:ascii="Century Schoolbook" w:hAnsi="Century Schoolbook"/>
          <w:i/>
        </w:rPr>
        <w:t xml:space="preserve">Flores </w:t>
      </w:r>
      <w:r w:rsidRPr="00E53E52">
        <w:rPr>
          <w:rFonts w:ascii="Century Schoolbook" w:hAnsi="Century Schoolbook"/>
        </w:rPr>
        <w:t xml:space="preserve">settlement returned to center stage in May 2018, when the Trump administration took a new approach to border control that led to the separation of thousands of mostly Central American children from their parents. The administration adopted a “zero tolerance” policy of criminal prosecution for unlawful entry of all adults entering without inspection through the southwestern border. As an adjunct to the policy, the administration classified any child as an “unaccompanied minor” who crossed the border with an adult who was subsequently placed in immigration or criminal custody. The agency reasoned that the parent or guardian was no longer “available to provide care and physical custody” while in custody, per the Trafficking Victims Protection Reauthorization Act. CBP separated the children from the parent or other accompanying adult, and placed them in the custody of the Office of Refugee Resettlement. </w:t>
      </w:r>
      <w:r w:rsidRPr="00E53E52">
        <w:rPr>
          <w:rFonts w:ascii="Century Schoolbook" w:hAnsi="Century Schoolbook"/>
          <w:i/>
        </w:rPr>
        <w:t xml:space="preserve">See </w:t>
      </w:r>
      <w:r w:rsidRPr="00E53E52">
        <w:rPr>
          <w:rFonts w:ascii="Century Schoolbook" w:hAnsi="Century Schoolbook"/>
        </w:rPr>
        <w:t xml:space="preserve">U.S. Att’y. Gen., Attorney General Sessions Delivers Remarks Regarding the Immigration Enforcement Actions of the Trump Administration (May 7, 2018), </w:t>
      </w:r>
      <w:hyperlink r:id="rId54" w:history="1">
        <w:r w:rsidRPr="00E53E52">
          <w:rPr>
            <w:rStyle w:val="Hyperlink"/>
            <w:rFonts w:eastAsiaTheme="minorHAnsi"/>
            <w:sz w:val="22"/>
            <w:szCs w:val="22"/>
          </w:rPr>
          <w:t>https://www.justice.gov/opa/speech/attorney-general-sessions-delivers-remarks-discussing-immigration-enforcement-actions</w:t>
        </w:r>
      </w:hyperlink>
      <w:r w:rsidRPr="00E53E52">
        <w:rPr>
          <w:rFonts w:ascii="Century Schoolbook" w:hAnsi="Century Schoolbook"/>
        </w:rPr>
        <w:t xml:space="preserve">; </w:t>
      </w:r>
      <w:r w:rsidRPr="00E53E52">
        <w:rPr>
          <w:rFonts w:ascii="Century Schoolbook" w:hAnsi="Century Schoolbook"/>
          <w:i/>
        </w:rPr>
        <w:t>Ms. L. v. U.S. Immigr. &amp; Customs Enforcement</w:t>
      </w:r>
      <w:r w:rsidRPr="00E53E52">
        <w:rPr>
          <w:rFonts w:ascii="Century Schoolbook" w:hAnsi="Century Schoolbook"/>
        </w:rPr>
        <w:t>, 310 F. Supp. 3d 1133 (S.D. Cal. 2018).</w:t>
      </w:r>
      <w:r w:rsidRPr="00E53E52">
        <w:rPr>
          <w:rFonts w:ascii="Century Schoolbook" w:hAnsi="Century Schoolbook"/>
          <w:i/>
        </w:rPr>
        <w:t xml:space="preserve"> </w:t>
      </w:r>
    </w:p>
    <w:p w14:paraId="4C282104" w14:textId="77777777" w:rsidR="00261DF0" w:rsidRPr="00E53E52" w:rsidRDefault="00261DF0" w:rsidP="00261DF0">
      <w:pPr>
        <w:pStyle w:val="BodyText"/>
        <w:widowControl/>
        <w:ind w:firstLine="720"/>
        <w:rPr>
          <w:rFonts w:ascii="Century Schoolbook" w:hAnsi="Century Schoolbook"/>
          <w:i/>
        </w:rPr>
      </w:pPr>
      <w:r w:rsidRPr="00E53E52">
        <w:rPr>
          <w:rFonts w:ascii="Century Schoolbook" w:hAnsi="Century Schoolbook"/>
        </w:rPr>
        <w:t xml:space="preserve">On June 20, 2018, the Administration modified the “zero tolerance” policy in favor of “maintaining family unity.” </w:t>
      </w:r>
      <w:r w:rsidRPr="00E53E52">
        <w:rPr>
          <w:rFonts w:ascii="Century Schoolbook" w:hAnsi="Century Schoolbook"/>
          <w:i/>
        </w:rPr>
        <w:t>See</w:t>
      </w:r>
      <w:r w:rsidRPr="00E53E52">
        <w:rPr>
          <w:rFonts w:ascii="Century Schoolbook" w:hAnsi="Century Schoolbook"/>
        </w:rPr>
        <w:t xml:space="preserve"> Executive Order 13,841 of June 20, 2018, Affording Congress an Opportunity to Address Family Separation, 83 Fed. Reg. 29435 </w:t>
      </w:r>
      <w:r w:rsidRPr="00E53E52">
        <w:rPr>
          <w:rFonts w:ascii="Century Schoolbook" w:hAnsi="Century Schoolbook"/>
          <w:color w:val="000000"/>
        </w:rPr>
        <w:t>§ 1, July 30, 2018.</w:t>
      </w:r>
      <w:r w:rsidRPr="00E53E52">
        <w:rPr>
          <w:rFonts w:ascii="Century Schoolbook" w:hAnsi="Century Schoolbook"/>
        </w:rPr>
        <w:t xml:space="preserve"> The Order mandated that while adults who illegally crossed the border with minors would still be prosecuted, they would not be separated. Instead, families would be detained together “during the pendency of any criminal improper entry or immigration proceedings” to the extent permitted by law and “available resources.” </w:t>
      </w:r>
      <w:r w:rsidRPr="00E53E52">
        <w:rPr>
          <w:rFonts w:ascii="Century Schoolbook" w:hAnsi="Century Schoolbook"/>
          <w:i/>
        </w:rPr>
        <w:t xml:space="preserve">Id. </w:t>
      </w:r>
      <w:r w:rsidRPr="00E53E52">
        <w:rPr>
          <w:rFonts w:ascii="Century Schoolbook" w:hAnsi="Century Schoolbook"/>
          <w:color w:val="000000"/>
        </w:rPr>
        <w:t xml:space="preserve">§ 3. </w:t>
      </w:r>
      <w:r w:rsidRPr="00E53E52">
        <w:rPr>
          <w:rFonts w:ascii="Century Schoolbook" w:hAnsi="Century Schoolbook"/>
        </w:rPr>
        <w:t xml:space="preserve">On June 26, 2018, the ACLU obtained a preliminary injunction against the Trump administration’s family separation </w:t>
      </w:r>
      <w:r w:rsidRPr="00E53E52">
        <w:rPr>
          <w:rFonts w:ascii="Century Schoolbook" w:hAnsi="Century Schoolbook"/>
        </w:rPr>
        <w:lastRenderedPageBreak/>
        <w:t xml:space="preserve">policy. The court ordered the reunification of children with their families within 30 days, prohibited the deportation of parents without their children, and barred the future separation of children from their parents unless it was in the child’s best interest. </w:t>
      </w:r>
      <w:r w:rsidRPr="00E53E52">
        <w:rPr>
          <w:rFonts w:ascii="Century Schoolbook" w:hAnsi="Century Schoolbook"/>
          <w:i/>
        </w:rPr>
        <w:t xml:space="preserve">Ms. L., </w:t>
      </w:r>
      <w:r w:rsidRPr="00E53E52">
        <w:rPr>
          <w:rFonts w:ascii="Century Schoolbook" w:hAnsi="Century Schoolbook"/>
        </w:rPr>
        <w:t>310 F. Supp. at 1149.</w:t>
      </w:r>
    </w:p>
    <w:p w14:paraId="5B3944A0" w14:textId="025E8E29" w:rsidR="00E42CE4" w:rsidRPr="00E53E52" w:rsidRDefault="006E4C5A" w:rsidP="001D1D6E">
      <w:pPr>
        <w:spacing w:after="120"/>
        <w:ind w:firstLine="720"/>
        <w:jc w:val="center"/>
        <w:rPr>
          <w:rFonts w:ascii="Century Schoolbook" w:hAnsi="Century Schoolbook"/>
        </w:rPr>
      </w:pPr>
      <w:r w:rsidRPr="00E53E52">
        <w:rPr>
          <w:rFonts w:ascii="Century Schoolbook" w:hAnsi="Century Schoolbook"/>
        </w:rPr>
        <w:t>__________</w:t>
      </w:r>
      <w:r w:rsidR="00E42CE4" w:rsidRPr="00E53E52">
        <w:rPr>
          <w:rFonts w:ascii="Century Schoolbook" w:hAnsi="Century Schoolbook"/>
        </w:rPr>
        <w:t>__________</w:t>
      </w:r>
    </w:p>
    <w:p w14:paraId="3F0AA051" w14:textId="77777777" w:rsidR="00E42CE4" w:rsidRPr="00E53E52" w:rsidRDefault="00E42CE4" w:rsidP="001D1D6E">
      <w:pPr>
        <w:spacing w:after="120"/>
        <w:rPr>
          <w:rFonts w:ascii="Century Schoolbook" w:hAnsi="Century Schoolbook"/>
          <w:b/>
        </w:rPr>
      </w:pPr>
      <w:r w:rsidRPr="00E53E52">
        <w:rPr>
          <w:rFonts w:ascii="Century Schoolbook" w:hAnsi="Century Schoolbook"/>
          <w:b/>
          <w:color w:val="000000" w:themeColor="text1"/>
        </w:rPr>
        <w:t>e. Conditions of Confinement</w:t>
      </w:r>
      <w:r w:rsidRPr="00E53E52">
        <w:rPr>
          <w:rFonts w:ascii="Century Schoolbook" w:hAnsi="Century Schoolbook"/>
          <w:b/>
        </w:rPr>
        <w:t xml:space="preserve"> </w:t>
      </w:r>
    </w:p>
    <w:p w14:paraId="45D696D2" w14:textId="77777777" w:rsidR="00653854" w:rsidRPr="00E53E52" w:rsidRDefault="00E42CE4" w:rsidP="001D1D6E">
      <w:pPr>
        <w:spacing w:after="120"/>
        <w:ind w:firstLine="720"/>
        <w:jc w:val="both"/>
        <w:rPr>
          <w:rFonts w:ascii="Century Schoolbook" w:hAnsi="Century Schoolbook"/>
        </w:rPr>
      </w:pPr>
      <w:r w:rsidRPr="00E53E52">
        <w:rPr>
          <w:rFonts w:ascii="Century Schoolbook" w:hAnsi="Century Schoolbook"/>
        </w:rPr>
        <w:t>[continue with text of first full paragraph on p. 855]</w:t>
      </w:r>
    </w:p>
    <w:p w14:paraId="15B51660" w14:textId="4E7DA959" w:rsidR="00367700" w:rsidRPr="00E53E52" w:rsidRDefault="00367700" w:rsidP="001D1D6E">
      <w:pPr>
        <w:spacing w:after="120"/>
        <w:ind w:firstLine="720"/>
        <w:jc w:val="both"/>
        <w:rPr>
          <w:rFonts w:ascii="Century Schoolbook" w:hAnsi="Century Schoolbook"/>
          <w:b/>
        </w:rPr>
      </w:pPr>
      <w:r w:rsidRPr="00E53E52">
        <w:rPr>
          <w:rFonts w:ascii="Century Schoolbook" w:hAnsi="Century Schoolbook"/>
          <w:b/>
        </w:rPr>
        <w:br w:type="page"/>
      </w:r>
    </w:p>
    <w:p w14:paraId="2011AD53" w14:textId="77777777" w:rsidR="00367700" w:rsidRPr="00E53E52" w:rsidRDefault="00367700" w:rsidP="001D1D6E">
      <w:pPr>
        <w:spacing w:after="120"/>
        <w:jc w:val="center"/>
        <w:outlineLvl w:val="0"/>
        <w:rPr>
          <w:rFonts w:ascii="Century Schoolbook" w:hAnsi="Century Schoolbook"/>
          <w:b/>
        </w:rPr>
      </w:pPr>
      <w:r w:rsidRPr="00E53E52">
        <w:rPr>
          <w:rFonts w:ascii="Century Schoolbook" w:hAnsi="Century Schoolbook"/>
          <w:b/>
        </w:rPr>
        <w:lastRenderedPageBreak/>
        <w:t>CHAPTER TEN</w:t>
      </w:r>
    </w:p>
    <w:p w14:paraId="00AA2945" w14:textId="77777777" w:rsidR="00367700" w:rsidRPr="00E53E52" w:rsidRDefault="00367700" w:rsidP="001D1D6E">
      <w:pPr>
        <w:spacing w:after="120"/>
        <w:jc w:val="center"/>
        <w:outlineLvl w:val="0"/>
        <w:rPr>
          <w:rFonts w:ascii="Century Schoolbook" w:hAnsi="Century Schoolbook"/>
          <w:b/>
        </w:rPr>
      </w:pPr>
      <w:r w:rsidRPr="00E53E52">
        <w:rPr>
          <w:rFonts w:ascii="Century Schoolbook" w:hAnsi="Century Schoolbook"/>
          <w:b/>
        </w:rPr>
        <w:t>RESETTLEMENT AND OTHER DURABLE SOLUTIONS</w:t>
      </w:r>
    </w:p>
    <w:p w14:paraId="418142D7" w14:textId="648B6031" w:rsidR="007D7E9A" w:rsidRPr="00E53E52" w:rsidRDefault="00305277" w:rsidP="001D1D6E">
      <w:pPr>
        <w:spacing w:after="120"/>
        <w:ind w:hanging="90"/>
        <w:rPr>
          <w:rFonts w:ascii="Century Schoolbook" w:hAnsi="Century Schoolbook" w:cs="Times New Roman"/>
          <w:b/>
          <w:color w:val="000000"/>
        </w:rPr>
      </w:pPr>
      <w:r w:rsidRPr="00E53E52">
        <w:rPr>
          <w:rFonts w:ascii="Century Schoolbook" w:hAnsi="Century Schoolbook" w:cs="Times New Roman"/>
          <w:b/>
          <w:color w:val="000000"/>
        </w:rPr>
        <w:t xml:space="preserve">p. </w:t>
      </w:r>
      <w:r w:rsidR="00F763A1" w:rsidRPr="00E53E52">
        <w:rPr>
          <w:rFonts w:ascii="Century Schoolbook" w:hAnsi="Century Schoolbook" w:cs="Times New Roman"/>
          <w:b/>
          <w:color w:val="000000"/>
        </w:rPr>
        <w:t xml:space="preserve">891, </w:t>
      </w:r>
      <w:r w:rsidR="00170D07" w:rsidRPr="00E53E52">
        <w:rPr>
          <w:rFonts w:ascii="Century Schoolbook" w:hAnsi="Century Schoolbook" w:cs="Times New Roman"/>
          <w:b/>
          <w:color w:val="000000"/>
        </w:rPr>
        <w:t xml:space="preserve">after the </w:t>
      </w:r>
      <w:r w:rsidR="00F763A1" w:rsidRPr="00E53E52">
        <w:rPr>
          <w:rFonts w:ascii="Century Schoolbook" w:hAnsi="Century Schoolbook" w:cs="Times New Roman"/>
          <w:b/>
          <w:color w:val="000000"/>
        </w:rPr>
        <w:t>last full paragraph, add</w:t>
      </w:r>
      <w:r w:rsidR="00170D07" w:rsidRPr="00E53E52">
        <w:rPr>
          <w:rFonts w:ascii="Century Schoolbook" w:hAnsi="Century Schoolbook" w:cs="Times New Roman"/>
          <w:b/>
          <w:color w:val="000000"/>
        </w:rPr>
        <w:t xml:space="preserve"> a new paragraph</w:t>
      </w:r>
      <w:r w:rsidR="00F763A1" w:rsidRPr="00E53E52">
        <w:rPr>
          <w:rFonts w:ascii="Century Schoolbook" w:hAnsi="Century Schoolbook" w:cs="Times New Roman"/>
          <w:b/>
          <w:color w:val="000000"/>
        </w:rPr>
        <w:t>:</w:t>
      </w:r>
    </w:p>
    <w:p w14:paraId="04B5E3C0" w14:textId="12E779B1" w:rsidR="00F763A1" w:rsidRPr="00E53E52" w:rsidRDefault="00810FDA" w:rsidP="00170D07">
      <w:pPr>
        <w:spacing w:after="120"/>
        <w:ind w:firstLine="720"/>
        <w:jc w:val="both"/>
        <w:rPr>
          <w:rFonts w:ascii="Century Schoolbook" w:hAnsi="Century Schoolbook" w:cs="Times New Roman"/>
          <w:color w:val="000000"/>
        </w:rPr>
      </w:pPr>
      <w:r w:rsidRPr="00E53E52">
        <w:rPr>
          <w:rFonts w:ascii="Century Schoolbook" w:hAnsi="Century Schoolbook" w:cs="Times New Roman"/>
          <w:color w:val="000000"/>
        </w:rPr>
        <w:t xml:space="preserve"> </w:t>
      </w:r>
      <w:r w:rsidR="00F763A1" w:rsidRPr="00E53E52">
        <w:rPr>
          <w:rFonts w:ascii="Century Schoolbook" w:hAnsi="Century Schoolbook" w:cs="Times New Roman"/>
          <w:color w:val="000000"/>
        </w:rPr>
        <w:t xml:space="preserve">In response to the </w:t>
      </w:r>
      <w:r w:rsidR="00DD6676" w:rsidRPr="00E53E52">
        <w:rPr>
          <w:rFonts w:ascii="Century Schoolbook" w:hAnsi="Century Schoolbook" w:cs="Times New Roman"/>
          <w:color w:val="000000"/>
        </w:rPr>
        <w:t>huge outpouring of refugees caused by the Syrian ci</w:t>
      </w:r>
      <w:r w:rsidR="0072688F" w:rsidRPr="00E53E52">
        <w:rPr>
          <w:rFonts w:ascii="Century Schoolbook" w:hAnsi="Century Schoolbook" w:cs="Times New Roman"/>
          <w:color w:val="000000"/>
        </w:rPr>
        <w:t xml:space="preserve">vil war, President </w:t>
      </w:r>
      <w:r w:rsidR="00DD6676" w:rsidRPr="00E53E52">
        <w:rPr>
          <w:rFonts w:ascii="Century Schoolbook" w:hAnsi="Century Schoolbook" w:cs="Times New Roman"/>
          <w:color w:val="000000"/>
        </w:rPr>
        <w:t xml:space="preserve">Obama </w:t>
      </w:r>
      <w:r w:rsidR="00B47029" w:rsidRPr="00E53E52">
        <w:rPr>
          <w:rFonts w:ascii="Century Schoolbook" w:hAnsi="Century Schoolbook" w:cs="Times New Roman"/>
          <w:color w:val="000000"/>
        </w:rPr>
        <w:t>proposed the admission of 85,000 refugees in 2016 and 110,000 refugees in 2017.</w:t>
      </w:r>
      <w:r w:rsidRPr="00E53E52">
        <w:rPr>
          <w:rFonts w:ascii="Century Schoolbook" w:hAnsi="Century Schoolbook" w:cs="Times New Roman"/>
          <w:color w:val="000000"/>
        </w:rPr>
        <w:t xml:space="preserve"> </w:t>
      </w:r>
      <w:r w:rsidR="0072688F" w:rsidRPr="00E53E52">
        <w:rPr>
          <w:rFonts w:ascii="Century Schoolbook" w:hAnsi="Century Schoolbook" w:cs="Times New Roman"/>
          <w:color w:val="000000"/>
        </w:rPr>
        <w:t xml:space="preserve">After Donald Trump became President, he issued </w:t>
      </w:r>
      <w:r w:rsidR="00A35E25" w:rsidRPr="00E53E52">
        <w:rPr>
          <w:rFonts w:ascii="Century Schoolbook" w:hAnsi="Century Schoolbook" w:cs="Times New Roman"/>
          <w:color w:val="000000"/>
        </w:rPr>
        <w:t xml:space="preserve">executive orders suspending </w:t>
      </w:r>
      <w:r w:rsidR="00A35E25" w:rsidRPr="00E53E52">
        <w:rPr>
          <w:rFonts w:ascii="Century Schoolbook" w:hAnsi="Century Schoolbook"/>
        </w:rPr>
        <w:t>the</w:t>
      </w:r>
      <w:r w:rsidR="00A35E25" w:rsidRPr="00E53E52">
        <w:rPr>
          <w:rFonts w:ascii="Century Schoolbook" w:hAnsi="Century Schoolbook" w:cs="Times New Roman"/>
          <w:color w:val="000000"/>
        </w:rPr>
        <w:t xml:space="preserve"> refugee resettlement program for 120 days and reducing to 50,000 the number of refugees</w:t>
      </w:r>
      <w:r w:rsidR="00CB4DB8" w:rsidRPr="00E53E52">
        <w:rPr>
          <w:rFonts w:ascii="Century Schoolbook" w:hAnsi="Century Schoolbook" w:cs="Times New Roman"/>
          <w:color w:val="000000"/>
        </w:rPr>
        <w:t xml:space="preserve"> admitted in 2017.</w:t>
      </w:r>
    </w:p>
    <w:p w14:paraId="5444DAAB" w14:textId="2698D22A" w:rsidR="00750E27" w:rsidRPr="00E53E52" w:rsidRDefault="00750E27" w:rsidP="00750E27">
      <w:pPr>
        <w:pStyle w:val="BodyText"/>
        <w:widowControl/>
        <w:spacing w:after="120"/>
        <w:ind w:firstLine="720"/>
        <w:rPr>
          <w:rStyle w:val="Hyperlink"/>
          <w:rFonts w:eastAsiaTheme="minorHAnsi"/>
          <w:sz w:val="22"/>
          <w:szCs w:val="22"/>
        </w:rPr>
      </w:pPr>
      <w:r w:rsidRPr="00E53E52">
        <w:rPr>
          <w:rFonts w:ascii="Century Schoolbook" w:hAnsi="Century Schoolbook"/>
        </w:rPr>
        <w:t>The January 27, 2017, executive order suspended all refugee admissions for 120 days and the admission of all refugees from Syria indefinitely. It also directed the Secretary of State “</w:t>
      </w:r>
      <w:r w:rsidRPr="00E53E52">
        <w:rPr>
          <w:rFonts w:ascii="Century Schoolbook" w:eastAsia="Times New Roman" w:hAnsi="Century Schoolbook" w:cs="Arial"/>
          <w:spacing w:val="2"/>
          <w:lang w:val="en"/>
        </w:rPr>
        <w:t>to make changes, to the extent permitted by law, to prioritize refugee claims made by individuals on the basis of religious-based persecution, provided that the religion of the individual is a minority religion in the individual’s country of nationality.”</w:t>
      </w:r>
      <w:r w:rsidRPr="00E53E52">
        <w:rPr>
          <w:rStyle w:val="Hyperlink"/>
          <w:rFonts w:eastAsiaTheme="minorHAnsi"/>
          <w:sz w:val="22"/>
          <w:szCs w:val="22"/>
        </w:rPr>
        <w:t xml:space="preserve"> The order further stated that the entry of more than 50,000 in FY 2017 would be “detrimental to the interests of the United States” and suspended entries in excess of 50,000.</w:t>
      </w:r>
    </w:p>
    <w:p w14:paraId="7085B9AB" w14:textId="77777777" w:rsidR="00750E27" w:rsidRPr="00E53E52" w:rsidRDefault="00750E27" w:rsidP="00750E27">
      <w:pPr>
        <w:pStyle w:val="BodyText"/>
        <w:widowControl/>
        <w:spacing w:after="120"/>
        <w:ind w:firstLine="720"/>
        <w:rPr>
          <w:rFonts w:ascii="Century Schoolbook" w:hAnsi="Century Schoolbook"/>
        </w:rPr>
      </w:pPr>
      <w:r w:rsidRPr="00E53E52">
        <w:rPr>
          <w:rFonts w:ascii="Century Schoolbook" w:hAnsi="Century Schoolbook"/>
        </w:rPr>
        <w:t>The second version of the travel ban, by executive order of March 16, 2017, also suspended all refugee admissions for 120 days, but no group of refugees was suspended indefinitely as Syrian refugees had been. The language regarding prioritizing persecution claims was struck. EO-2 carried forward the declaration that the entry of more than 50,000 refugees in FY 2017 would be “detrimental to the interests of the United States.”</w:t>
      </w:r>
    </w:p>
    <w:p w14:paraId="5530D65F" w14:textId="1CA2A813" w:rsidR="00750E27" w:rsidRPr="00E53E52" w:rsidRDefault="00750E27" w:rsidP="00750E27">
      <w:pPr>
        <w:pStyle w:val="BodyText"/>
        <w:widowControl/>
        <w:spacing w:after="120"/>
        <w:ind w:firstLine="720"/>
        <w:rPr>
          <w:rFonts w:ascii="Century Schoolbook" w:hAnsi="Century Schoolbook"/>
        </w:rPr>
      </w:pPr>
      <w:r w:rsidRPr="00E53E52">
        <w:rPr>
          <w:rFonts w:ascii="Century Schoolbook" w:hAnsi="Century Schoolbook"/>
        </w:rPr>
        <w:t xml:space="preserve">The third version of the travel ban—the one at issue in the U.S. Supreme Court decision in </w:t>
      </w:r>
      <w:r w:rsidRPr="00E53E52">
        <w:rPr>
          <w:rFonts w:ascii="Century Schoolbook" w:hAnsi="Century Schoolbook"/>
          <w:i/>
          <w:iCs/>
        </w:rPr>
        <w:t>Trump v. Hawaii</w:t>
      </w:r>
      <w:r w:rsidRPr="00E53E52">
        <w:rPr>
          <w:rFonts w:ascii="Century Schoolbook" w:hAnsi="Century Schoolbook"/>
        </w:rPr>
        <w:t xml:space="preserve">, did not refer to refugee admissions. On October 24, 2017, another executive order resumed refugee admissions. </w:t>
      </w:r>
      <w:r w:rsidRPr="00E53E52">
        <w:rPr>
          <w:rFonts w:ascii="Century Schoolbook" w:hAnsi="Century Schoolbook"/>
          <w:i/>
        </w:rPr>
        <w:t>See Resuming the United States Refugee Admissions Program With Enhanced Vetting Capabilities</w:t>
      </w:r>
      <w:r w:rsidRPr="00E53E52">
        <w:rPr>
          <w:rFonts w:ascii="Century Schoolbook" w:hAnsi="Century Schoolbook"/>
        </w:rPr>
        <w:t>, 82 Fed. Reg. 50055 (Oct. 24, 2017). However, the administration made clear that it would subject refugee admissions, both individually and for particular countries, to much closer scrutiny than previous administrations had. In particular, the October 24 order deprioritized refugee resettlement for applications from 11 countries (</w:t>
      </w:r>
      <w:r w:rsidRPr="00E53E52">
        <w:rPr>
          <w:rFonts w:ascii="Century Schoolbook" w:hAnsi="Century Schoolbook"/>
          <w:shd w:val="clear" w:color="auto" w:fill="FFFFFF"/>
        </w:rPr>
        <w:t>Egypt, Iran, Iraq, Libya, Mali, North Korea, Somalia, South Sudan, Sudan, Syria, and Yemen</w:t>
      </w:r>
      <w:r w:rsidRPr="00E53E52">
        <w:rPr>
          <w:rFonts w:ascii="Century Schoolbook" w:hAnsi="Century Schoolbook"/>
        </w:rPr>
        <w:t xml:space="preserve">) regarded as “high risk” to national security. </w:t>
      </w:r>
      <w:r w:rsidRPr="00E53E52">
        <w:rPr>
          <w:rFonts w:ascii="Century Schoolbook" w:hAnsi="Century Schoolbook"/>
          <w:i/>
          <w:iCs/>
        </w:rPr>
        <w:t>See</w:t>
      </w:r>
      <w:r w:rsidRPr="00E53E52">
        <w:rPr>
          <w:rFonts w:ascii="Century Schoolbook" w:hAnsi="Century Schoolbook"/>
        </w:rPr>
        <w:t xml:space="preserve"> White House, </w:t>
      </w:r>
      <w:r w:rsidRPr="00E53E52">
        <w:rPr>
          <w:rFonts w:ascii="Century Schoolbook" w:hAnsi="Century Schoolbook"/>
          <w:i/>
          <w:iCs/>
        </w:rPr>
        <w:t>Executive Order 13815 of October 24, 2017: Resuming the United States Refugee Admissions Program with Enhanced Vetting Capabilities</w:t>
      </w:r>
      <w:r w:rsidRPr="00E53E52">
        <w:rPr>
          <w:rFonts w:ascii="Century Schoolbook" w:hAnsi="Century Schoolbook"/>
        </w:rPr>
        <w:t xml:space="preserve">, 82 Fed. Reg. 50055 (2017). The administration also implemented additional screening for applications from those countries. </w:t>
      </w:r>
      <w:r w:rsidRPr="00E53E52">
        <w:rPr>
          <w:rFonts w:ascii="Century Schoolbook" w:hAnsi="Century Schoolbook"/>
          <w:i/>
          <w:iCs/>
        </w:rPr>
        <w:t>See</w:t>
      </w:r>
      <w:r w:rsidRPr="00E53E52">
        <w:rPr>
          <w:rFonts w:ascii="Century Schoolbook" w:hAnsi="Century Schoolbook"/>
        </w:rPr>
        <w:t xml:space="preserve"> DHS,</w:t>
      </w:r>
      <w:r w:rsidRPr="00E53E52">
        <w:rPr>
          <w:rFonts w:ascii="Century Schoolbook" w:hAnsi="Century Schoolbook"/>
          <w:spacing w:val="-5"/>
        </w:rPr>
        <w:t xml:space="preserve"> </w:t>
      </w:r>
      <w:r w:rsidRPr="00E53E52">
        <w:rPr>
          <w:rFonts w:ascii="Century Schoolbook" w:hAnsi="Century Schoolbook"/>
          <w:i/>
          <w:iCs/>
        </w:rPr>
        <w:t>DHS</w:t>
      </w:r>
      <w:r w:rsidRPr="00E53E52">
        <w:rPr>
          <w:rFonts w:ascii="Century Schoolbook" w:hAnsi="Century Schoolbook"/>
          <w:i/>
          <w:iCs/>
          <w:spacing w:val="-4"/>
        </w:rPr>
        <w:t xml:space="preserve"> </w:t>
      </w:r>
      <w:r w:rsidRPr="00E53E52">
        <w:rPr>
          <w:rFonts w:ascii="Century Schoolbook" w:hAnsi="Century Schoolbook"/>
          <w:i/>
          <w:iCs/>
        </w:rPr>
        <w:t>Announces</w:t>
      </w:r>
      <w:r w:rsidRPr="00E53E52">
        <w:rPr>
          <w:rFonts w:ascii="Century Schoolbook" w:hAnsi="Century Schoolbook"/>
          <w:i/>
          <w:iCs/>
          <w:spacing w:val="-4"/>
        </w:rPr>
        <w:t xml:space="preserve"> </w:t>
      </w:r>
      <w:r w:rsidRPr="00E53E52">
        <w:rPr>
          <w:rFonts w:ascii="Century Schoolbook" w:hAnsi="Century Schoolbook"/>
          <w:i/>
          <w:iCs/>
        </w:rPr>
        <w:t>Additional,</w:t>
      </w:r>
      <w:r w:rsidRPr="00E53E52">
        <w:rPr>
          <w:rFonts w:ascii="Century Schoolbook" w:hAnsi="Century Schoolbook"/>
          <w:i/>
          <w:iCs/>
          <w:spacing w:val="-6"/>
        </w:rPr>
        <w:t xml:space="preserve"> </w:t>
      </w:r>
      <w:r w:rsidRPr="00E53E52">
        <w:rPr>
          <w:rFonts w:ascii="Century Schoolbook" w:hAnsi="Century Schoolbook"/>
          <w:i/>
          <w:iCs/>
        </w:rPr>
        <w:t>Enhanced</w:t>
      </w:r>
      <w:r w:rsidRPr="00E53E52">
        <w:rPr>
          <w:rFonts w:ascii="Century Schoolbook" w:hAnsi="Century Schoolbook"/>
          <w:i/>
          <w:iCs/>
          <w:spacing w:val="-4"/>
        </w:rPr>
        <w:t xml:space="preserve"> </w:t>
      </w:r>
      <w:r w:rsidRPr="00E53E52">
        <w:rPr>
          <w:rFonts w:ascii="Century Schoolbook" w:hAnsi="Century Schoolbook"/>
          <w:i/>
          <w:iCs/>
        </w:rPr>
        <w:t>Security</w:t>
      </w:r>
      <w:r w:rsidRPr="00E53E52">
        <w:rPr>
          <w:rFonts w:ascii="Century Schoolbook" w:hAnsi="Century Schoolbook"/>
          <w:i/>
          <w:iCs/>
          <w:spacing w:val="-4"/>
        </w:rPr>
        <w:t xml:space="preserve"> </w:t>
      </w:r>
      <w:r w:rsidRPr="00E53E52">
        <w:rPr>
          <w:rFonts w:ascii="Century Schoolbook" w:hAnsi="Century Schoolbook"/>
          <w:i/>
          <w:iCs/>
        </w:rPr>
        <w:t>Procedures</w:t>
      </w:r>
      <w:r w:rsidRPr="00E53E52">
        <w:rPr>
          <w:rFonts w:ascii="Century Schoolbook" w:hAnsi="Century Schoolbook"/>
          <w:i/>
          <w:iCs/>
          <w:spacing w:val="-4"/>
        </w:rPr>
        <w:t xml:space="preserve"> </w:t>
      </w:r>
      <w:r w:rsidRPr="00E53E52">
        <w:rPr>
          <w:rFonts w:ascii="Century Schoolbook" w:hAnsi="Century Schoolbook"/>
          <w:i/>
          <w:iCs/>
        </w:rPr>
        <w:t>for</w:t>
      </w:r>
      <w:r w:rsidRPr="00E53E52">
        <w:rPr>
          <w:rFonts w:ascii="Century Schoolbook" w:hAnsi="Century Schoolbook"/>
          <w:i/>
          <w:iCs/>
          <w:spacing w:val="-4"/>
        </w:rPr>
        <w:t xml:space="preserve"> </w:t>
      </w:r>
      <w:r w:rsidRPr="00E53E52">
        <w:rPr>
          <w:rFonts w:ascii="Century Schoolbook" w:hAnsi="Century Schoolbook"/>
          <w:i/>
          <w:iCs/>
        </w:rPr>
        <w:t>Refugees</w:t>
      </w:r>
      <w:r w:rsidRPr="00E53E52">
        <w:rPr>
          <w:rFonts w:ascii="Century Schoolbook" w:hAnsi="Century Schoolbook"/>
          <w:i/>
          <w:iCs/>
          <w:spacing w:val="-5"/>
        </w:rPr>
        <w:t xml:space="preserve"> </w:t>
      </w:r>
      <w:r w:rsidRPr="00E53E52">
        <w:rPr>
          <w:rFonts w:ascii="Century Schoolbook" w:hAnsi="Century Schoolbook"/>
          <w:i/>
          <w:iCs/>
        </w:rPr>
        <w:t>Seeking</w:t>
      </w:r>
      <w:r w:rsidRPr="00E53E52">
        <w:rPr>
          <w:rFonts w:ascii="Century Schoolbook" w:hAnsi="Century Schoolbook"/>
          <w:i/>
          <w:iCs/>
          <w:spacing w:val="-4"/>
        </w:rPr>
        <w:t xml:space="preserve"> </w:t>
      </w:r>
      <w:r w:rsidRPr="00E53E52">
        <w:rPr>
          <w:rFonts w:ascii="Century Schoolbook" w:hAnsi="Century Schoolbook"/>
          <w:i/>
          <w:iCs/>
        </w:rPr>
        <w:t>Resettlement</w:t>
      </w:r>
      <w:r w:rsidRPr="00E53E52">
        <w:rPr>
          <w:rFonts w:ascii="Century Schoolbook" w:hAnsi="Century Schoolbook"/>
          <w:i/>
          <w:iCs/>
          <w:spacing w:val="-5"/>
        </w:rPr>
        <w:t xml:space="preserve"> </w:t>
      </w:r>
      <w:r w:rsidRPr="00E53E52">
        <w:rPr>
          <w:rFonts w:ascii="Century Schoolbook" w:hAnsi="Century Schoolbook"/>
          <w:i/>
          <w:iCs/>
        </w:rPr>
        <w:t>in</w:t>
      </w:r>
      <w:r w:rsidRPr="00E53E52">
        <w:rPr>
          <w:rFonts w:ascii="Century Schoolbook" w:hAnsi="Century Schoolbook"/>
          <w:i/>
          <w:iCs/>
          <w:spacing w:val="-5"/>
        </w:rPr>
        <w:t xml:space="preserve"> </w:t>
      </w:r>
      <w:r w:rsidRPr="00E53E52">
        <w:rPr>
          <w:rFonts w:ascii="Century Schoolbook" w:hAnsi="Century Schoolbook"/>
          <w:i/>
          <w:iCs/>
        </w:rPr>
        <w:t>the</w:t>
      </w:r>
      <w:r w:rsidRPr="00E53E52">
        <w:rPr>
          <w:rFonts w:ascii="Century Schoolbook" w:hAnsi="Century Schoolbook"/>
          <w:i/>
          <w:iCs/>
          <w:spacing w:val="-4"/>
        </w:rPr>
        <w:t xml:space="preserve"> </w:t>
      </w:r>
      <w:r w:rsidRPr="00E53E52">
        <w:rPr>
          <w:rFonts w:ascii="Century Schoolbook" w:hAnsi="Century Schoolbook"/>
          <w:i/>
          <w:iCs/>
        </w:rPr>
        <w:t>United</w:t>
      </w:r>
      <w:r w:rsidRPr="00E53E52">
        <w:rPr>
          <w:rFonts w:ascii="Century Schoolbook" w:hAnsi="Century Schoolbook"/>
          <w:i/>
          <w:iCs/>
          <w:spacing w:val="-4"/>
        </w:rPr>
        <w:t xml:space="preserve"> </w:t>
      </w:r>
      <w:r w:rsidRPr="00E53E52">
        <w:rPr>
          <w:rFonts w:ascii="Century Schoolbook" w:hAnsi="Century Schoolbook"/>
          <w:i/>
          <w:iCs/>
        </w:rPr>
        <w:t>States</w:t>
      </w:r>
      <w:r w:rsidRPr="00E53E52">
        <w:rPr>
          <w:rFonts w:ascii="Century Schoolbook" w:hAnsi="Century Schoolbook"/>
        </w:rPr>
        <w:t xml:space="preserve"> (press release, Jan. 29, 2018). </w:t>
      </w:r>
    </w:p>
    <w:p w14:paraId="1356D420" w14:textId="5C860F4E" w:rsidR="00750E27" w:rsidRPr="00E53E52" w:rsidRDefault="00750E27" w:rsidP="00750E27">
      <w:pPr>
        <w:pStyle w:val="BodyText"/>
        <w:widowControl/>
        <w:spacing w:after="120"/>
        <w:ind w:firstLine="720"/>
        <w:rPr>
          <w:rFonts w:ascii="Century Schoolbook" w:hAnsi="Century Schoolbook"/>
        </w:rPr>
      </w:pPr>
      <w:r w:rsidRPr="00E53E52">
        <w:rPr>
          <w:rFonts w:ascii="Century Schoolbook" w:hAnsi="Century Schoolbook"/>
        </w:rPr>
        <w:t xml:space="preserve">The administration has also set refugee admissions numbers much lower than previous administrations. Actual admissions have run lower. The FY 2018 ceiling was 45,000, but with 22,491 actual admissions. The FY 2019 ceiling is 30,000, but only 21,260 actual admissions in the first nine months of the fiscal year. </w:t>
      </w:r>
      <w:r w:rsidRPr="00E53E52">
        <w:rPr>
          <w:rFonts w:ascii="Century Schoolbook" w:hAnsi="Century Schoolbook"/>
          <w:i/>
          <w:iCs/>
        </w:rPr>
        <w:t>See</w:t>
      </w:r>
      <w:r w:rsidRPr="00E53E52">
        <w:rPr>
          <w:rFonts w:ascii="Century Schoolbook" w:hAnsi="Century Schoolbook"/>
        </w:rPr>
        <w:t xml:space="preserve"> State Department, </w:t>
      </w:r>
      <w:r w:rsidRPr="00E53E52">
        <w:rPr>
          <w:rFonts w:ascii="Century Schoolbook" w:hAnsi="Century Schoolbook"/>
          <w:i/>
          <w:iCs/>
        </w:rPr>
        <w:t>Worldwide Refugee Admissions Processing System (WRAPS)</w:t>
      </w:r>
      <w:r w:rsidRPr="00E53E52">
        <w:rPr>
          <w:rFonts w:ascii="Century Schoolbook" w:hAnsi="Century Schoolbook"/>
        </w:rPr>
        <w:t>.</w:t>
      </w:r>
    </w:p>
    <w:p w14:paraId="4D9CE117" w14:textId="4FC35313" w:rsidR="00750E27" w:rsidRPr="00E53E52" w:rsidRDefault="00750E27" w:rsidP="00750E27">
      <w:pPr>
        <w:pStyle w:val="BodyText"/>
        <w:widowControl/>
        <w:spacing w:after="120"/>
        <w:ind w:firstLine="720"/>
        <w:rPr>
          <w:rFonts w:ascii="Century Schoolbook" w:hAnsi="Century Schoolbook"/>
          <w:b/>
          <w:caps/>
        </w:rPr>
      </w:pPr>
      <w:r w:rsidRPr="00E53E52">
        <w:rPr>
          <w:rFonts w:ascii="Century Schoolbook" w:hAnsi="Century Schoolbook"/>
          <w:b/>
          <w:caps/>
        </w:rPr>
        <w:lastRenderedPageBreak/>
        <w:br w:type="page"/>
      </w:r>
    </w:p>
    <w:p w14:paraId="1B2915AE" w14:textId="77C16DF6" w:rsidR="00305277" w:rsidRPr="00E53E52" w:rsidRDefault="007D7E9A" w:rsidP="001D1D6E">
      <w:pPr>
        <w:keepNext/>
        <w:spacing w:after="120"/>
        <w:ind w:hanging="90"/>
        <w:rPr>
          <w:rFonts w:ascii="Century Schoolbook" w:hAnsi="Century Schoolbook" w:cs="Times New Roman"/>
          <w:b/>
        </w:rPr>
      </w:pPr>
      <w:r w:rsidRPr="00E53E52">
        <w:rPr>
          <w:rFonts w:ascii="Century Schoolbook" w:hAnsi="Century Schoolbook" w:cs="Times New Roman"/>
          <w:b/>
          <w:color w:val="000000"/>
        </w:rPr>
        <w:lastRenderedPageBreak/>
        <w:t xml:space="preserve">p. </w:t>
      </w:r>
      <w:r w:rsidR="00305277" w:rsidRPr="00E53E52">
        <w:rPr>
          <w:rFonts w:ascii="Century Schoolbook" w:hAnsi="Century Schoolbook" w:cs="Times New Roman"/>
          <w:b/>
          <w:color w:val="000000"/>
        </w:rPr>
        <w:t xml:space="preserve">906, </w:t>
      </w:r>
      <w:r w:rsidR="00305277" w:rsidRPr="00E53E52">
        <w:rPr>
          <w:rFonts w:ascii="Century Schoolbook" w:hAnsi="Century Schoolbook" w:cs="Times New Roman"/>
          <w:b/>
        </w:rPr>
        <w:t>replace Figure 10.7 with updated graph:</w:t>
      </w:r>
    </w:p>
    <w:p w14:paraId="1E37A32F" w14:textId="69C796EC" w:rsidR="00750E27" w:rsidRPr="00E53E52" w:rsidRDefault="00750E27" w:rsidP="00750E27">
      <w:pPr>
        <w:pStyle w:val="ImageSpace"/>
        <w:spacing w:before="0" w:line="276" w:lineRule="auto"/>
        <w:rPr>
          <w:b/>
          <w:sz w:val="22"/>
          <w:szCs w:val="22"/>
        </w:rPr>
      </w:pPr>
      <w:r w:rsidRPr="00E53E52">
        <w:rPr>
          <w:b/>
          <w:sz w:val="22"/>
          <w:szCs w:val="22"/>
        </w:rPr>
        <w:t>Figure 10.7</w:t>
      </w:r>
      <w:r w:rsidRPr="00E53E52">
        <w:rPr>
          <w:b/>
          <w:sz w:val="22"/>
          <w:szCs w:val="22"/>
        </w:rPr>
        <w:br/>
        <w:t>U.S. Annual Refugee Resettlement Ceilings and</w:t>
      </w:r>
      <w:r w:rsidRPr="00E53E52">
        <w:rPr>
          <w:b/>
          <w:sz w:val="22"/>
          <w:szCs w:val="22"/>
        </w:rPr>
        <w:br/>
        <w:t>Number of Refugees Admitted, FY 1980–2018</w:t>
      </w:r>
    </w:p>
    <w:p w14:paraId="577C13D2" w14:textId="77777777" w:rsidR="00750E27" w:rsidRPr="00E53E52" w:rsidRDefault="00750E27" w:rsidP="00750E27">
      <w:pPr>
        <w:spacing w:before="120" w:after="240"/>
        <w:jc w:val="center"/>
        <w:rPr>
          <w:rFonts w:ascii="Century Schoolbook" w:hAnsi="Century Schoolbook"/>
          <w:noProof/>
          <w:sz w:val="18"/>
          <w:szCs w:val="18"/>
        </w:rPr>
      </w:pPr>
      <w:r w:rsidRPr="00E53E52">
        <w:rPr>
          <w:noProof/>
        </w:rPr>
        <w:drawing>
          <wp:inline distT="0" distB="0" distL="0" distR="0" wp14:anchorId="06C38D6A" wp14:editId="1714C146">
            <wp:extent cx="5943600" cy="3642995"/>
            <wp:effectExtent l="0" t="0" r="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4E113FA5" w14:textId="62BCE3F6" w:rsidR="00750E27" w:rsidRPr="00E53E52" w:rsidRDefault="00750E27" w:rsidP="00750E27">
      <w:pPr>
        <w:spacing w:before="120" w:after="240"/>
        <w:jc w:val="center"/>
        <w:rPr>
          <w:rFonts w:ascii="Century Schoolbook" w:hAnsi="Century Schoolbook"/>
          <w:noProof/>
          <w:sz w:val="18"/>
          <w:szCs w:val="18"/>
        </w:rPr>
      </w:pPr>
      <w:r w:rsidRPr="00E53E52">
        <w:rPr>
          <w:rFonts w:ascii="Century Schoolbook" w:hAnsi="Century Schoolbook"/>
          <w:noProof/>
          <w:sz w:val="18"/>
          <w:szCs w:val="18"/>
        </w:rPr>
        <w:t>Source: Originally Published on the Migration Policy Institute Data Hub,</w:t>
      </w:r>
      <w:r w:rsidRPr="00E53E52">
        <w:rPr>
          <w:rFonts w:ascii="Century Schoolbook" w:hAnsi="Century Schoolbook"/>
          <w:noProof/>
          <w:sz w:val="18"/>
          <w:szCs w:val="18"/>
        </w:rPr>
        <w:br/>
        <w:t>http://www.migrationpolicy.org/programs/data-hub/us-immigration-trends</w:t>
      </w:r>
      <w:r w:rsidR="009532A7" w:rsidRPr="00E53E52">
        <w:rPr>
          <w:rFonts w:ascii="Century Schoolbook" w:hAnsi="Century Schoolbook"/>
          <w:noProof/>
          <w:sz w:val="18"/>
          <w:szCs w:val="18"/>
        </w:rPr>
        <w:t>.</w:t>
      </w:r>
      <w:r w:rsidRPr="00E53E52" w:rsidDel="008D2E58">
        <w:rPr>
          <w:rFonts w:ascii="Century Schoolbook" w:hAnsi="Century Schoolbook"/>
          <w:noProof/>
          <w:sz w:val="18"/>
          <w:szCs w:val="18"/>
        </w:rPr>
        <w:t xml:space="preserve"> </w:t>
      </w:r>
    </w:p>
    <w:p w14:paraId="007FA371" w14:textId="0E2B6D51" w:rsidR="00843DB0" w:rsidRPr="00E53E52" w:rsidRDefault="00843DB0" w:rsidP="00170D07">
      <w:pPr>
        <w:keepNext/>
        <w:spacing w:after="120"/>
        <w:rPr>
          <w:rFonts w:ascii="Century Schoolbook" w:hAnsi="Century Schoolbook"/>
          <w:b/>
        </w:rPr>
      </w:pPr>
      <w:r w:rsidRPr="00E53E52">
        <w:rPr>
          <w:rFonts w:ascii="Century Schoolbook" w:hAnsi="Century Schoolbook"/>
          <w:b/>
        </w:rPr>
        <w:t>p. 923, after carryover paragraph, add new paragraph:</w:t>
      </w:r>
      <w:r w:rsidR="00810FDA" w:rsidRPr="00E53E52">
        <w:rPr>
          <w:rFonts w:ascii="Century Schoolbook" w:hAnsi="Century Schoolbook"/>
          <w:b/>
        </w:rPr>
        <w:t xml:space="preserve"> </w:t>
      </w:r>
    </w:p>
    <w:p w14:paraId="56731663" w14:textId="52F97C0F" w:rsidR="00560A4C" w:rsidRPr="00E53E52" w:rsidRDefault="00843DB0" w:rsidP="00560A4C">
      <w:pPr>
        <w:spacing w:after="120"/>
        <w:ind w:firstLine="720"/>
        <w:jc w:val="both"/>
        <w:rPr>
          <w:rFonts w:ascii="Century Schoolbook" w:hAnsi="Century Schoolbook"/>
        </w:rPr>
      </w:pPr>
      <w:r w:rsidRPr="00E53E52">
        <w:rPr>
          <w:rFonts w:ascii="Century Schoolbook" w:hAnsi="Century Schoolbook"/>
        </w:rPr>
        <w:t xml:space="preserve">In December 2014, the Obama Administration </w:t>
      </w:r>
      <w:r w:rsidR="005E22AD" w:rsidRPr="00E53E52">
        <w:rPr>
          <w:rFonts w:ascii="Century Schoolbook" w:hAnsi="Century Schoolbook"/>
        </w:rPr>
        <w:t>launched</w:t>
      </w:r>
      <w:r w:rsidRPr="00E53E52">
        <w:rPr>
          <w:rFonts w:ascii="Century Schoolbook" w:hAnsi="Century Schoolbook"/>
        </w:rPr>
        <w:t xml:space="preserve"> an in-country processing </w:t>
      </w:r>
      <w:r w:rsidR="006B314D" w:rsidRPr="00E53E52">
        <w:rPr>
          <w:rFonts w:ascii="Century Schoolbook" w:hAnsi="Century Schoolbook"/>
        </w:rPr>
        <w:t>program for minors in E</w:t>
      </w:r>
      <w:r w:rsidRPr="00E53E52">
        <w:rPr>
          <w:rFonts w:ascii="Century Schoolbook" w:hAnsi="Century Schoolbook"/>
        </w:rPr>
        <w:t>l Salvador, Guatemala, and Honduras.</w:t>
      </w:r>
      <w:r w:rsidR="00810FDA" w:rsidRPr="00E53E52">
        <w:rPr>
          <w:rFonts w:ascii="Century Schoolbook" w:hAnsi="Century Schoolbook"/>
        </w:rPr>
        <w:t xml:space="preserve"> </w:t>
      </w:r>
      <w:r w:rsidRPr="00E53E52">
        <w:rPr>
          <w:rFonts w:ascii="Century Schoolbook" w:hAnsi="Century Schoolbook"/>
        </w:rPr>
        <w:t>The Central American Minors (CAM) Refugee/Parole Program</w:t>
      </w:r>
      <w:r w:rsidR="006B314D" w:rsidRPr="00E53E52">
        <w:rPr>
          <w:rFonts w:ascii="Century Schoolbook" w:hAnsi="Century Schoolbook"/>
        </w:rPr>
        <w:t xml:space="preserve"> </w:t>
      </w:r>
      <w:r w:rsidR="005E22AD" w:rsidRPr="00E53E52">
        <w:rPr>
          <w:rFonts w:ascii="Century Schoolbook" w:hAnsi="Century Schoolbook"/>
        </w:rPr>
        <w:t>opened in</w:t>
      </w:r>
      <w:r w:rsidR="006B314D" w:rsidRPr="00E53E52">
        <w:rPr>
          <w:rFonts w:ascii="Century Schoolbook" w:hAnsi="Century Schoolbook"/>
        </w:rPr>
        <w:t xml:space="preserve"> response to the large increase in unaccompanied children arriving at the U.S.-Mexico border in 2014.</w:t>
      </w:r>
      <w:r w:rsidR="00810FDA" w:rsidRPr="00E53E52">
        <w:rPr>
          <w:rFonts w:ascii="Century Schoolbook" w:hAnsi="Century Schoolbook"/>
        </w:rPr>
        <w:t xml:space="preserve"> </w:t>
      </w:r>
      <w:r w:rsidR="00560A4C" w:rsidRPr="00E53E52">
        <w:rPr>
          <w:rFonts w:ascii="Century Schoolbook" w:hAnsi="Century Schoolbook" w:cs="Times New Roman"/>
        </w:rPr>
        <w:t xml:space="preserve">In July 2016 the Obama Administration announced a significant expansion in eligibility for resettlement via the CAM program. In addition to minors, children over the age of 21 were eligible, as were parents and relatives who were caretakers of children at risk of persecution. Costa Rica agreed to provide temporary shelter for the most vulnerable Central American refugees as they were processed for the CAM program. Individuals who did not satisfy the statutory refugee definition could be paroled into the United States. Julie H. Davis, </w:t>
      </w:r>
      <w:r w:rsidR="00560A4C" w:rsidRPr="00E53E52">
        <w:rPr>
          <w:rFonts w:ascii="Century Schoolbook" w:hAnsi="Century Schoolbook" w:cs="Times New Roman"/>
          <w:i/>
        </w:rPr>
        <w:t>U.S. To Admit More Central American Refugees</w:t>
      </w:r>
      <w:r w:rsidR="00560A4C" w:rsidRPr="00E53E52">
        <w:rPr>
          <w:rFonts w:ascii="Century Schoolbook" w:hAnsi="Century Schoolbook" w:cs="Times New Roman"/>
        </w:rPr>
        <w:t xml:space="preserve">, N.Y. Times, July 26, 2016. </w:t>
      </w:r>
      <w:r w:rsidR="00560A4C" w:rsidRPr="00E53E52">
        <w:rPr>
          <w:rFonts w:ascii="Century Schoolbook" w:hAnsi="Century Schoolbook"/>
        </w:rPr>
        <w:t>It is noteworthy that the CAM in-country processing program expressly recognizes a humanitarian parole exception for minors who do not satisfy the refugee definition.</w:t>
      </w:r>
    </w:p>
    <w:p w14:paraId="386702C6" w14:textId="77777777" w:rsidR="00560A4C" w:rsidRPr="00E53E52" w:rsidRDefault="00560A4C" w:rsidP="00560A4C">
      <w:pPr>
        <w:spacing w:after="120"/>
        <w:ind w:firstLine="720"/>
        <w:jc w:val="both"/>
        <w:rPr>
          <w:rFonts w:ascii="Century Schoolbook" w:hAnsi="Century Schoolbook" w:cs="Times New Roman"/>
        </w:rPr>
      </w:pPr>
      <w:r w:rsidRPr="00E53E52">
        <w:rPr>
          <w:rFonts w:ascii="Century Schoolbook" w:hAnsi="Century Schoolbook"/>
        </w:rPr>
        <w:lastRenderedPageBreak/>
        <w:t xml:space="preserve">The Trump Administration suspended the CAM program in January 2017 </w:t>
      </w:r>
      <w:r w:rsidRPr="00E53E52">
        <w:rPr>
          <w:rFonts w:ascii="Century Schoolbook" w:hAnsi="Century Schoolbook" w:cs="Times New Roman"/>
        </w:rPr>
        <w:t xml:space="preserve">(see </w:t>
      </w:r>
      <w:r w:rsidRPr="00E53E52">
        <w:rPr>
          <w:rFonts w:ascii="Century Schoolbook" w:hAnsi="Century Schoolbook"/>
        </w:rPr>
        <w:t xml:space="preserve">material in this Update for casebook page </w:t>
      </w:r>
      <w:r w:rsidRPr="00E53E52">
        <w:rPr>
          <w:rFonts w:ascii="Century Schoolbook" w:hAnsi="Century Schoolbook" w:cs="Times New Roman"/>
        </w:rPr>
        <w:t xml:space="preserve">39) </w:t>
      </w:r>
      <w:r w:rsidRPr="00E53E52">
        <w:rPr>
          <w:rFonts w:ascii="Century Schoolbook" w:hAnsi="Century Schoolbook"/>
        </w:rPr>
        <w:t xml:space="preserve">and ultimately terminated it in August 2017, barring the roughly 3,000 children who had been conditionally granted parole from entering the United States. </w:t>
      </w:r>
      <w:r w:rsidRPr="00E53E52">
        <w:rPr>
          <w:rFonts w:ascii="Century Schoolbook" w:hAnsi="Century Schoolbook"/>
          <w:i/>
        </w:rPr>
        <w:t>See</w:t>
      </w:r>
      <w:r w:rsidRPr="00E53E52">
        <w:rPr>
          <w:rFonts w:ascii="Century Schoolbook" w:hAnsi="Century Schoolbook"/>
        </w:rPr>
        <w:t xml:space="preserve"> Exec. Order No. 13,769 (“Protecting the Nation from Foreign Terrorist Entry into the United States”), 82 Fed. Reg. 8,977, Sect. 5(a) (Jan. 27, 2017) (“The Secretary of State shall suspend the U.S. Refugee Admissions Program (USRAP) for 120 days.”);</w:t>
      </w:r>
      <w:r w:rsidRPr="00E53E52">
        <w:t xml:space="preserve"> </w:t>
      </w:r>
      <w:r w:rsidRPr="00E53E52">
        <w:rPr>
          <w:rFonts w:ascii="Century Schoolbook" w:hAnsi="Century Schoolbook" w:cs="Arial"/>
          <w:color w:val="000000"/>
        </w:rPr>
        <w:t xml:space="preserve">Termination of the Central American Minors Parole Program, 82 </w:t>
      </w:r>
      <w:r w:rsidRPr="00E53E52">
        <w:rPr>
          <w:rFonts w:ascii="Century Schoolbook" w:hAnsi="Century Schoolbook"/>
        </w:rPr>
        <w:t xml:space="preserve">Fed. Reg. </w:t>
      </w:r>
      <w:r w:rsidRPr="00E53E52">
        <w:rPr>
          <w:rFonts w:ascii="Century Schoolbook" w:hAnsi="Century Schoolbook" w:cs="Arial"/>
          <w:color w:val="000000"/>
        </w:rPr>
        <w:t xml:space="preserve">38,926 (Aug. 16, 2017); </w:t>
      </w:r>
      <w:r w:rsidRPr="00E53E52">
        <w:rPr>
          <w:rFonts w:ascii="Century Schoolbook" w:hAnsi="Century Schoolbook"/>
          <w:i/>
        </w:rPr>
        <w:t xml:space="preserve">see also </w:t>
      </w:r>
      <w:r w:rsidRPr="00E53E52">
        <w:rPr>
          <w:rFonts w:ascii="Century Schoolbook" w:hAnsi="Century Schoolbook"/>
        </w:rPr>
        <w:t xml:space="preserve">Tal Kopan, </w:t>
      </w:r>
      <w:r w:rsidRPr="00E53E52">
        <w:rPr>
          <w:rFonts w:ascii="Century Schoolbook" w:hAnsi="Century Schoolbook"/>
          <w:i/>
        </w:rPr>
        <w:t xml:space="preserve">DHS ends program for Central American minors, </w:t>
      </w:r>
      <w:r w:rsidRPr="00E53E52">
        <w:rPr>
          <w:rFonts w:ascii="Century Schoolbook" w:hAnsi="Century Schoolbook"/>
          <w:smallCaps/>
        </w:rPr>
        <w:t>CNN: Politics</w:t>
      </w:r>
      <w:r w:rsidRPr="00E53E52">
        <w:rPr>
          <w:rFonts w:ascii="Century Schoolbook" w:hAnsi="Century Schoolbook"/>
        </w:rPr>
        <w:t>, (Aug. 16, 2017), https://www.cnn.com/2017/08/16/politics/trump-ending-central-american-minors-program/index.html. In June 2018, the International Refugee Assistance Project filed a class-action lawsuit against the Trump Administration, alleging that the administration’s cancellation of the Program was an abuse of discretion based on discriminatory intent that violated the defendants’ due process and equal protection rights.</w:t>
      </w:r>
      <w:r w:rsidRPr="00E53E52">
        <w:rPr>
          <w:rFonts w:ascii="Century Schoolbook" w:hAnsi="Century Schoolbook"/>
          <w:i/>
        </w:rPr>
        <w:t xml:space="preserve"> S.A. v. Trump</w:t>
      </w:r>
      <w:r w:rsidRPr="00E53E52">
        <w:rPr>
          <w:rFonts w:ascii="Century Schoolbook" w:hAnsi="Century Schoolbook"/>
        </w:rPr>
        <w:t xml:space="preserve">, </w:t>
      </w:r>
      <w:r w:rsidRPr="00E53E52">
        <w:rPr>
          <w:rFonts w:ascii="Century Schoolbook" w:eastAsia="Times New Roman" w:hAnsi="Century Schoolbook" w:cs="Times New Roman"/>
        </w:rPr>
        <w:t>Case No. 18-cv-03539-LB (N.D. Ca. 2018).</w:t>
      </w:r>
    </w:p>
    <w:p w14:paraId="2F4F4517" w14:textId="77777777" w:rsidR="00BF7D19" w:rsidRPr="00E53E52" w:rsidRDefault="00BF7D19" w:rsidP="001D1D6E">
      <w:pPr>
        <w:spacing w:after="120"/>
        <w:rPr>
          <w:rFonts w:ascii="Century Schoolbook" w:hAnsi="Century Schoolbook"/>
        </w:rPr>
      </w:pPr>
      <w:r w:rsidRPr="00E53E52">
        <w:rPr>
          <w:rFonts w:ascii="Century Schoolbook" w:hAnsi="Century Schoolbook"/>
        </w:rPr>
        <w:br w:type="page"/>
      </w:r>
    </w:p>
    <w:p w14:paraId="0F1A5A20" w14:textId="77777777" w:rsidR="00B27F6D" w:rsidRPr="00E53E52" w:rsidRDefault="00B27F6D" w:rsidP="001D1D6E">
      <w:pPr>
        <w:spacing w:after="120"/>
        <w:jc w:val="center"/>
        <w:outlineLvl w:val="0"/>
        <w:rPr>
          <w:rFonts w:ascii="Century Schoolbook" w:hAnsi="Century Schoolbook"/>
          <w:b/>
        </w:rPr>
      </w:pPr>
      <w:r w:rsidRPr="00E53E52">
        <w:rPr>
          <w:rFonts w:ascii="Century Schoolbook" w:hAnsi="Century Schoolbook"/>
          <w:b/>
        </w:rPr>
        <w:lastRenderedPageBreak/>
        <w:t>CHAPTER ELEVEN</w:t>
      </w:r>
    </w:p>
    <w:p w14:paraId="5B7D4543" w14:textId="1E2F714D" w:rsidR="00B27F6D" w:rsidRPr="00E53E52" w:rsidRDefault="00B27F6D" w:rsidP="006E4C5A">
      <w:pPr>
        <w:spacing w:after="120"/>
        <w:jc w:val="center"/>
        <w:outlineLvl w:val="0"/>
        <w:rPr>
          <w:rFonts w:ascii="Century Schoolbook" w:hAnsi="Century Schoolbook"/>
          <w:b/>
        </w:rPr>
      </w:pPr>
      <w:r w:rsidRPr="00E53E52">
        <w:rPr>
          <w:rFonts w:ascii="Century Schoolbook" w:hAnsi="Century Schoolbook"/>
          <w:b/>
        </w:rPr>
        <w:t xml:space="preserve">BEYOND ASYLUM: OTHER FORMS OF </w:t>
      </w:r>
      <w:r w:rsidR="00D87760" w:rsidRPr="00E53E52">
        <w:rPr>
          <w:rFonts w:ascii="Century Schoolbook" w:hAnsi="Century Schoolbook"/>
          <w:b/>
        </w:rPr>
        <w:br/>
      </w:r>
      <w:r w:rsidRPr="00E53E52">
        <w:rPr>
          <w:rFonts w:ascii="Century Schoolbook" w:hAnsi="Century Schoolbook"/>
          <w:b/>
        </w:rPr>
        <w:t>PROTECTION FOR FORCED MIGRANTS</w:t>
      </w:r>
    </w:p>
    <w:p w14:paraId="28896250" w14:textId="74296FFC" w:rsidR="00D12C95" w:rsidRPr="00E53E52" w:rsidRDefault="00D12C95" w:rsidP="001D1D6E">
      <w:pPr>
        <w:spacing w:after="120"/>
        <w:rPr>
          <w:rFonts w:ascii="Century Schoolbook" w:hAnsi="Century Schoolbook" w:cs="Times New Roman"/>
          <w:b/>
        </w:rPr>
      </w:pPr>
      <w:r w:rsidRPr="00E53E52">
        <w:rPr>
          <w:rFonts w:ascii="Century Schoolbook" w:hAnsi="Century Schoolbook" w:cs="Times New Roman"/>
          <w:b/>
        </w:rPr>
        <w:t xml:space="preserve">p. 957, </w:t>
      </w:r>
      <w:r w:rsidR="00B95767" w:rsidRPr="00E53E52">
        <w:rPr>
          <w:rFonts w:ascii="Century Schoolbook" w:hAnsi="Century Schoolbook" w:cs="Times New Roman"/>
          <w:b/>
        </w:rPr>
        <w:t>replace first full paragraph</w:t>
      </w:r>
      <w:r w:rsidR="00CA1BED" w:rsidRPr="00E53E52">
        <w:rPr>
          <w:rFonts w:ascii="Century Schoolbook" w:hAnsi="Century Schoolbook" w:cs="Times New Roman"/>
          <w:b/>
        </w:rPr>
        <w:t xml:space="preserve"> and Table 11.1</w:t>
      </w:r>
      <w:r w:rsidR="00B95767" w:rsidRPr="00E53E52">
        <w:rPr>
          <w:rFonts w:ascii="Century Schoolbook" w:hAnsi="Century Schoolbook" w:cs="Times New Roman"/>
          <w:b/>
        </w:rPr>
        <w:t xml:space="preserve"> with:</w:t>
      </w:r>
    </w:p>
    <w:p w14:paraId="3C435003" w14:textId="639A1E70" w:rsidR="00597084" w:rsidRPr="00E53E52" w:rsidRDefault="00B95767" w:rsidP="0036367F">
      <w:pPr>
        <w:pStyle w:val="BodyText"/>
        <w:widowControl/>
        <w:spacing w:after="120"/>
        <w:ind w:firstLine="720"/>
        <w:rPr>
          <w:rStyle w:val="Hyperlink"/>
          <w:rFonts w:eastAsiaTheme="minorHAnsi"/>
          <w:sz w:val="22"/>
          <w:szCs w:val="22"/>
        </w:rPr>
      </w:pPr>
      <w:r w:rsidRPr="00E53E52">
        <w:rPr>
          <w:rFonts w:ascii="Century Schoolbook" w:hAnsi="Century Schoolbook" w:cs="Times New Roman"/>
        </w:rPr>
        <w:t>As of August 201</w:t>
      </w:r>
      <w:r w:rsidR="004D63CC" w:rsidRPr="00E53E52">
        <w:rPr>
          <w:rFonts w:ascii="Century Schoolbook" w:hAnsi="Century Schoolbook" w:cs="Times New Roman"/>
        </w:rPr>
        <w:t>7</w:t>
      </w:r>
      <w:r w:rsidRPr="00E53E52">
        <w:rPr>
          <w:rFonts w:ascii="Century Schoolbook" w:hAnsi="Century Schoolbook" w:cs="Times New Roman"/>
        </w:rPr>
        <w:t xml:space="preserve">, nationals of </w:t>
      </w:r>
      <w:r w:rsidR="00BF172C" w:rsidRPr="00E53E52">
        <w:rPr>
          <w:rFonts w:ascii="Century Schoolbook" w:hAnsi="Century Schoolbook" w:cs="Times New Roman"/>
        </w:rPr>
        <w:t xml:space="preserve">ten </w:t>
      </w:r>
      <w:r w:rsidRPr="00E53E52">
        <w:rPr>
          <w:rFonts w:ascii="Century Schoolbook" w:hAnsi="Century Schoolbook" w:cs="Times New Roman"/>
        </w:rPr>
        <w:t xml:space="preserve">countries </w:t>
      </w:r>
      <w:r w:rsidR="00E03100" w:rsidRPr="00E53E52">
        <w:rPr>
          <w:rFonts w:ascii="Century Schoolbook" w:hAnsi="Century Schoolbook" w:cs="Times New Roman"/>
        </w:rPr>
        <w:t>wer</w:t>
      </w:r>
      <w:r w:rsidRPr="00E53E52">
        <w:rPr>
          <w:rFonts w:ascii="Century Schoolbook" w:hAnsi="Century Schoolbook" w:cs="Times New Roman"/>
        </w:rPr>
        <w:t>e eligible for TPS in the United States</w:t>
      </w:r>
      <w:r w:rsidR="00027B0C" w:rsidRPr="00E53E52">
        <w:rPr>
          <w:rFonts w:ascii="Century Schoolbook" w:hAnsi="Century Schoolbook" w:cs="Times New Roman"/>
        </w:rPr>
        <w:t xml:space="preserve">. </w:t>
      </w:r>
      <w:r w:rsidR="000179B0" w:rsidRPr="00E53E52">
        <w:rPr>
          <w:rFonts w:ascii="Century Schoolbook" w:hAnsi="Century Schoolbook" w:cs="Times New Roman"/>
        </w:rPr>
        <w:t xml:space="preserve">The most recent designations, in 2015, were of </w:t>
      </w:r>
      <w:r w:rsidR="007A772B" w:rsidRPr="00E53E52">
        <w:rPr>
          <w:rFonts w:ascii="Century Schoolbook" w:hAnsi="Century Schoolbook" w:cs="Times New Roman"/>
        </w:rPr>
        <w:t>Nepal</w:t>
      </w:r>
      <w:r w:rsidR="000179B0" w:rsidRPr="00E53E52">
        <w:rPr>
          <w:rFonts w:ascii="Century Schoolbook" w:hAnsi="Century Schoolbook" w:cs="Times New Roman"/>
        </w:rPr>
        <w:t xml:space="preserve">, which suffered </w:t>
      </w:r>
      <w:r w:rsidR="00C00CE2" w:rsidRPr="00E53E52">
        <w:rPr>
          <w:rFonts w:ascii="Century Schoolbook" w:hAnsi="Century Schoolbook" w:cs="Times New Roman"/>
        </w:rPr>
        <w:t>a massive earthquake</w:t>
      </w:r>
      <w:r w:rsidR="00B439EE" w:rsidRPr="00E53E52">
        <w:rPr>
          <w:rFonts w:ascii="Century Schoolbook" w:hAnsi="Century Schoolbook" w:cs="Times New Roman"/>
        </w:rPr>
        <w:t xml:space="preserve"> </w:t>
      </w:r>
      <w:r w:rsidR="000179B0" w:rsidRPr="00E53E52">
        <w:rPr>
          <w:rFonts w:ascii="Century Schoolbook" w:hAnsi="Century Schoolbook" w:cs="Times New Roman"/>
        </w:rPr>
        <w:t xml:space="preserve">and Yemen, </w:t>
      </w:r>
      <w:r w:rsidR="0002205B" w:rsidRPr="00E53E52">
        <w:rPr>
          <w:rFonts w:ascii="Century Schoolbook" w:hAnsi="Century Schoolbook" w:cs="Times New Roman"/>
        </w:rPr>
        <w:t>w</w:t>
      </w:r>
      <w:r w:rsidR="00CA1BED" w:rsidRPr="00E53E52">
        <w:rPr>
          <w:rFonts w:ascii="Century Schoolbook" w:hAnsi="Century Schoolbook" w:cs="Times New Roman"/>
        </w:rPr>
        <w:t>here civil war broke out</w:t>
      </w:r>
      <w:r w:rsidR="00027B0C" w:rsidRPr="00E53E52">
        <w:rPr>
          <w:rFonts w:ascii="Century Schoolbook" w:hAnsi="Century Schoolbook" w:cs="Times New Roman"/>
        </w:rPr>
        <w:t xml:space="preserve">. </w:t>
      </w:r>
      <w:r w:rsidRPr="00E53E52">
        <w:rPr>
          <w:rFonts w:ascii="Century Schoolbook" w:hAnsi="Century Schoolbook" w:cs="Times New Roman"/>
        </w:rPr>
        <w:t xml:space="preserve">Honduras and Nicaragua </w:t>
      </w:r>
      <w:r w:rsidR="00E03100" w:rsidRPr="00E53E52">
        <w:rPr>
          <w:rFonts w:ascii="Century Schoolbook" w:hAnsi="Century Schoolbook" w:cs="Times New Roman"/>
        </w:rPr>
        <w:t>we</w:t>
      </w:r>
      <w:r w:rsidR="00D0771C" w:rsidRPr="00E53E52">
        <w:rPr>
          <w:rFonts w:ascii="Century Schoolbook" w:hAnsi="Century Schoolbook" w:cs="Times New Roman"/>
        </w:rPr>
        <w:t xml:space="preserve">re still on the list, after being </w:t>
      </w:r>
      <w:r w:rsidRPr="00E53E52">
        <w:rPr>
          <w:rFonts w:ascii="Century Schoolbook" w:hAnsi="Century Schoolbook" w:cs="Times New Roman"/>
        </w:rPr>
        <w:t xml:space="preserve">first designated for TPS more than </w:t>
      </w:r>
      <w:r w:rsidR="007A772B" w:rsidRPr="00E53E52">
        <w:rPr>
          <w:rFonts w:ascii="Century Schoolbook" w:hAnsi="Century Schoolbook" w:cs="Times New Roman"/>
        </w:rPr>
        <w:t>fifteen</w:t>
      </w:r>
      <w:r w:rsidRPr="00E53E52">
        <w:rPr>
          <w:rFonts w:ascii="Century Schoolbook" w:hAnsi="Century Schoolbook" w:cs="Times New Roman"/>
        </w:rPr>
        <w:t xml:space="preserve"> years earlier, in January 1999, after Hurricane Mitch struck </w:t>
      </w:r>
      <w:r w:rsidR="000078EA" w:rsidRPr="00E53E52">
        <w:rPr>
          <w:rFonts w:ascii="Century Schoolbook" w:hAnsi="Century Schoolbook" w:cs="Times New Roman"/>
        </w:rPr>
        <w:t xml:space="preserve">both </w:t>
      </w:r>
      <w:r w:rsidRPr="00E53E52">
        <w:rPr>
          <w:rFonts w:ascii="Century Schoolbook" w:hAnsi="Century Schoolbook" w:cs="Times New Roman"/>
        </w:rPr>
        <w:t>countries</w:t>
      </w:r>
      <w:r w:rsidR="00027B0C" w:rsidRPr="00E53E52">
        <w:rPr>
          <w:rFonts w:ascii="Century Schoolbook" w:hAnsi="Century Schoolbook" w:cs="Times New Roman"/>
        </w:rPr>
        <w:t xml:space="preserve">. </w:t>
      </w:r>
      <w:r w:rsidRPr="00E53E52">
        <w:rPr>
          <w:rFonts w:ascii="Century Schoolbook" w:hAnsi="Century Schoolbook" w:cs="Times New Roman"/>
        </w:rPr>
        <w:t xml:space="preserve">More than 200,000 Salvadorans, first eligible for TPS in 2001 after severe earthquakes, </w:t>
      </w:r>
      <w:r w:rsidR="00E03100" w:rsidRPr="00E53E52">
        <w:rPr>
          <w:rFonts w:ascii="Century Schoolbook" w:hAnsi="Century Schoolbook" w:cs="Times New Roman"/>
        </w:rPr>
        <w:t>we</w:t>
      </w:r>
      <w:r w:rsidR="007A772B" w:rsidRPr="00E53E52">
        <w:rPr>
          <w:rFonts w:ascii="Century Schoolbook" w:hAnsi="Century Schoolbook" w:cs="Times New Roman"/>
        </w:rPr>
        <w:t>re</w:t>
      </w:r>
      <w:r w:rsidRPr="00E53E52">
        <w:rPr>
          <w:rFonts w:ascii="Century Schoolbook" w:hAnsi="Century Schoolbook" w:cs="Times New Roman"/>
        </w:rPr>
        <w:t xml:space="preserve"> covered by a TPS designation valid until </w:t>
      </w:r>
      <w:r w:rsidR="000078EA" w:rsidRPr="00E53E52">
        <w:rPr>
          <w:rFonts w:ascii="Century Schoolbook" w:hAnsi="Century Schoolbook" w:cs="Times New Roman"/>
        </w:rPr>
        <w:t xml:space="preserve">March </w:t>
      </w:r>
      <w:r w:rsidRPr="00E53E52">
        <w:rPr>
          <w:rFonts w:ascii="Century Schoolbook" w:hAnsi="Century Schoolbook" w:cs="Times New Roman"/>
        </w:rPr>
        <w:t>201</w:t>
      </w:r>
      <w:r w:rsidR="000078EA" w:rsidRPr="00E53E52">
        <w:rPr>
          <w:rFonts w:ascii="Century Schoolbook" w:hAnsi="Century Schoolbook" w:cs="Times New Roman"/>
        </w:rPr>
        <w:t>8</w:t>
      </w:r>
      <w:r w:rsidR="00027B0C" w:rsidRPr="00E53E52">
        <w:rPr>
          <w:rFonts w:ascii="Century Schoolbook" w:hAnsi="Century Schoolbook" w:cs="Times New Roman"/>
        </w:rPr>
        <w:t xml:space="preserve">. </w:t>
      </w:r>
      <w:r w:rsidR="000902A6" w:rsidRPr="00E53E52">
        <w:rPr>
          <w:rStyle w:val="Hyperlink"/>
          <w:rFonts w:eastAsiaTheme="minorHAnsi"/>
          <w:sz w:val="22"/>
          <w:szCs w:val="22"/>
        </w:rPr>
        <w:t xml:space="preserve">DHS </w:t>
      </w:r>
      <w:r w:rsidR="00CA1BED" w:rsidRPr="00E53E52">
        <w:rPr>
          <w:rStyle w:val="Hyperlink"/>
          <w:rFonts w:eastAsiaTheme="minorHAnsi"/>
          <w:sz w:val="22"/>
          <w:szCs w:val="22"/>
        </w:rPr>
        <w:t xml:space="preserve">had announced in April 2017 that it would </w:t>
      </w:r>
      <w:r w:rsidR="000902A6" w:rsidRPr="00E53E52">
        <w:rPr>
          <w:rStyle w:val="Hyperlink"/>
          <w:rFonts w:eastAsiaTheme="minorHAnsi"/>
          <w:sz w:val="22"/>
          <w:szCs w:val="22"/>
        </w:rPr>
        <w:t xml:space="preserve">extend TPS until January 2018 for Haitians displaced by the 2010 earthquake. </w:t>
      </w:r>
      <w:r w:rsidRPr="00E53E52">
        <w:rPr>
          <w:rFonts w:ascii="Century Schoolbook" w:hAnsi="Century Schoolbook" w:cs="Times New Roman"/>
        </w:rPr>
        <w:t xml:space="preserve">TPS </w:t>
      </w:r>
      <w:r w:rsidR="00E03100" w:rsidRPr="00E53E52">
        <w:rPr>
          <w:rFonts w:ascii="Century Schoolbook" w:hAnsi="Century Schoolbook" w:cs="Times New Roman"/>
        </w:rPr>
        <w:t>wa</w:t>
      </w:r>
      <w:r w:rsidRPr="00E53E52">
        <w:rPr>
          <w:rFonts w:ascii="Century Schoolbook" w:hAnsi="Century Schoolbook" w:cs="Times New Roman"/>
        </w:rPr>
        <w:t xml:space="preserve">s scheduled to expire for </w:t>
      </w:r>
      <w:r w:rsidR="00C7445A" w:rsidRPr="00E53E52">
        <w:rPr>
          <w:rFonts w:ascii="Century Schoolbook" w:hAnsi="Century Schoolbook" w:cs="Times New Roman"/>
        </w:rPr>
        <w:t>Sudan and South Sudan</w:t>
      </w:r>
      <w:r w:rsidR="0097539C" w:rsidRPr="00E53E52">
        <w:rPr>
          <w:rFonts w:ascii="Century Schoolbook" w:hAnsi="Century Schoolbook" w:cs="Times New Roman"/>
        </w:rPr>
        <w:t xml:space="preserve"> in </w:t>
      </w:r>
      <w:r w:rsidR="00C7445A" w:rsidRPr="00E53E52">
        <w:rPr>
          <w:rFonts w:ascii="Century Schoolbook" w:hAnsi="Century Schoolbook" w:cs="Times New Roman"/>
        </w:rPr>
        <w:t xml:space="preserve">November </w:t>
      </w:r>
      <w:r w:rsidR="0097539C" w:rsidRPr="00E53E52">
        <w:rPr>
          <w:rFonts w:ascii="Century Schoolbook" w:hAnsi="Century Schoolbook" w:cs="Times New Roman"/>
        </w:rPr>
        <w:t>201</w:t>
      </w:r>
      <w:r w:rsidR="00C7445A" w:rsidRPr="00E53E52">
        <w:rPr>
          <w:rFonts w:ascii="Century Schoolbook" w:hAnsi="Century Schoolbook" w:cs="Times New Roman"/>
        </w:rPr>
        <w:t>7</w:t>
      </w:r>
      <w:r w:rsidR="0097539C" w:rsidRPr="00E53E52">
        <w:rPr>
          <w:rFonts w:ascii="Century Schoolbook" w:hAnsi="Century Schoolbook" w:cs="Times New Roman"/>
        </w:rPr>
        <w:t xml:space="preserve">, </w:t>
      </w:r>
      <w:r w:rsidR="008E16A7" w:rsidRPr="00E53E52">
        <w:rPr>
          <w:rFonts w:ascii="Century Schoolbook" w:hAnsi="Century Schoolbook" w:cs="Times New Roman"/>
        </w:rPr>
        <w:t>and for the rest of the</w:t>
      </w:r>
      <w:r w:rsidR="00CA1BED" w:rsidRPr="00E53E52">
        <w:rPr>
          <w:rFonts w:ascii="Century Schoolbook" w:hAnsi="Century Schoolbook" w:cs="Times New Roman"/>
        </w:rPr>
        <w:t>se</w:t>
      </w:r>
      <w:r w:rsidR="008E16A7" w:rsidRPr="00E53E52">
        <w:rPr>
          <w:rFonts w:ascii="Century Schoolbook" w:hAnsi="Century Schoolbook" w:cs="Times New Roman"/>
        </w:rPr>
        <w:t xml:space="preserve"> countries </w:t>
      </w:r>
      <w:r w:rsidRPr="00E53E52">
        <w:rPr>
          <w:rFonts w:ascii="Century Schoolbook" w:hAnsi="Century Schoolbook" w:cs="Times New Roman"/>
        </w:rPr>
        <w:t xml:space="preserve">in </w:t>
      </w:r>
      <w:r w:rsidR="0097539C" w:rsidRPr="00E53E52">
        <w:rPr>
          <w:rFonts w:ascii="Century Schoolbook" w:hAnsi="Century Schoolbook" w:cs="Times New Roman"/>
        </w:rPr>
        <w:t>2018</w:t>
      </w:r>
      <w:r w:rsidR="008E16A7" w:rsidRPr="00E53E52">
        <w:rPr>
          <w:rFonts w:ascii="Century Schoolbook" w:hAnsi="Century Schoolbook" w:cs="Times New Roman"/>
        </w:rPr>
        <w:t>.</w:t>
      </w:r>
      <w:r w:rsidR="00810FDA" w:rsidRPr="00E53E52">
        <w:rPr>
          <w:rFonts w:ascii="Century Schoolbook" w:hAnsi="Century Schoolbook" w:cs="Times New Roman"/>
        </w:rPr>
        <w:t xml:space="preserve"> </w:t>
      </w:r>
    </w:p>
    <w:p w14:paraId="6C307B3B" w14:textId="19BF448B" w:rsidR="00E03100" w:rsidRPr="00E53E52" w:rsidRDefault="00E03100" w:rsidP="00E03100">
      <w:pPr>
        <w:spacing w:after="120"/>
        <w:ind w:firstLine="720"/>
        <w:jc w:val="both"/>
        <w:rPr>
          <w:rStyle w:val="Hyperlink"/>
          <w:rFonts w:eastAsiaTheme="minorHAnsi"/>
          <w:sz w:val="22"/>
          <w:szCs w:val="22"/>
        </w:rPr>
      </w:pPr>
      <w:r w:rsidRPr="00E53E52">
        <w:rPr>
          <w:rStyle w:val="Hyperlink"/>
          <w:rFonts w:eastAsiaTheme="minorHAnsi"/>
          <w:sz w:val="22"/>
          <w:szCs w:val="22"/>
        </w:rPr>
        <w:t xml:space="preserve">In the second half of 2017 and in 2018, DHS moved to limit TPS significantly. DHS terminated TPS for Honduras (announced June 2018, to end January 2020), Nepal (announced April 2018, to end June 2019), El Salvador (announced January 2018, to end September 2019), Nicaragua (announced December 2017, to end January 2019), Haiti (announced January 2018, to end July 2019), and Sudan (announced September 2017, to end November 2018), and terminated Deferred Enforced Departure (DED) for Liberians (announced March 2018, to end March 2019). During the current administration, the number of countries with TPS has dropped from ten to the current four: Somalia, South Sudan, Syria, and Yemen. The number of current TPS recipients whose status would expire is substantial but varies widely by country. There are, for example, about 260,000 from El Salvador, 86,000 from Honduras, 58,550 from Haiti, 15,000 from Nepal, 5,000 from Nicaragua, as well as about 4,000 </w:t>
      </w:r>
      <w:r w:rsidR="00CA1BED" w:rsidRPr="00E53E52">
        <w:rPr>
          <w:rStyle w:val="Hyperlink"/>
          <w:rFonts w:eastAsiaTheme="minorHAnsi"/>
          <w:sz w:val="22"/>
          <w:szCs w:val="22"/>
        </w:rPr>
        <w:t xml:space="preserve">Liberians </w:t>
      </w:r>
      <w:r w:rsidRPr="00E53E52">
        <w:rPr>
          <w:rStyle w:val="Hyperlink"/>
          <w:rFonts w:eastAsiaTheme="minorHAnsi"/>
          <w:sz w:val="22"/>
          <w:szCs w:val="22"/>
        </w:rPr>
        <w:t xml:space="preserve">with DED. </w:t>
      </w:r>
      <w:r w:rsidRPr="00E53E52">
        <w:rPr>
          <w:rStyle w:val="Hyperlink"/>
          <w:rFonts w:eastAsiaTheme="minorHAnsi"/>
          <w:i/>
          <w:sz w:val="22"/>
          <w:szCs w:val="22"/>
        </w:rPr>
        <w:t>See</w:t>
      </w:r>
      <w:r w:rsidRPr="00E53E52">
        <w:rPr>
          <w:rStyle w:val="Hyperlink"/>
          <w:rFonts w:eastAsiaTheme="minorHAnsi"/>
          <w:sz w:val="22"/>
          <w:szCs w:val="22"/>
        </w:rPr>
        <w:t xml:space="preserve"> Jill H. Wilson, </w:t>
      </w:r>
      <w:r w:rsidRPr="00E53E52">
        <w:rPr>
          <w:rStyle w:val="Hyperlink"/>
          <w:rFonts w:eastAsiaTheme="minorHAnsi"/>
          <w:i/>
          <w:sz w:val="22"/>
          <w:szCs w:val="22"/>
        </w:rPr>
        <w:t>Temporary Protected Status: Overview and Current Issues</w:t>
      </w:r>
      <w:r w:rsidRPr="00E53E52">
        <w:rPr>
          <w:rStyle w:val="Hyperlink"/>
          <w:rFonts w:eastAsiaTheme="minorHAnsi"/>
          <w:sz w:val="22"/>
          <w:szCs w:val="22"/>
        </w:rPr>
        <w:t xml:space="preserve"> (Cong. Res. Serv. 2018).</w:t>
      </w:r>
    </w:p>
    <w:p w14:paraId="7B10F056" w14:textId="77777777" w:rsidR="00A6162E" w:rsidRPr="00E53E52" w:rsidRDefault="00A6162E" w:rsidP="00A6162E">
      <w:pPr>
        <w:spacing w:after="120"/>
        <w:ind w:firstLine="720"/>
        <w:jc w:val="both"/>
        <w:rPr>
          <w:rFonts w:ascii="Century Schoolbook" w:hAnsi="Century Schoolbook"/>
        </w:rPr>
      </w:pPr>
      <w:r w:rsidRPr="00E53E52">
        <w:rPr>
          <w:rStyle w:val="Hyperlink"/>
          <w:rFonts w:eastAsiaTheme="minorHAnsi"/>
          <w:sz w:val="22"/>
          <w:szCs w:val="22"/>
        </w:rPr>
        <w:t xml:space="preserve">Federal lawsuits challenging the legality of TPS terminations are currently pending. The plaintiffs allege that the terminations are unlawful on several grounds, including that they reflected failure to apply the statutory criteria for TPS designation, and were pretexts for invidious discrimination on the part of the president and DHS officials. </w:t>
      </w:r>
      <w:r w:rsidRPr="00E53E52">
        <w:rPr>
          <w:rFonts w:ascii="Century Schoolbook" w:hAnsi="Century Schoolbook"/>
          <w:szCs w:val="24"/>
        </w:rPr>
        <w:t xml:space="preserve">A federal district court blocked termination of TPS for Haiti, Sudan, Nicaragua, and El Salvador. </w:t>
      </w:r>
      <w:r w:rsidRPr="00E53E52">
        <w:rPr>
          <w:rFonts w:ascii="Century Schoolbook" w:hAnsi="Century Schoolbook"/>
          <w:i/>
          <w:szCs w:val="24"/>
        </w:rPr>
        <w:t>See</w:t>
      </w:r>
      <w:r w:rsidRPr="00E53E52">
        <w:rPr>
          <w:rFonts w:ascii="Century Schoolbook" w:hAnsi="Century Schoolbook"/>
          <w:szCs w:val="24"/>
        </w:rPr>
        <w:t xml:space="preserve"> </w:t>
      </w:r>
      <w:r w:rsidRPr="00E53E52">
        <w:rPr>
          <w:rFonts w:ascii="Century Schoolbook" w:hAnsi="Century Schoolbook"/>
          <w:i/>
          <w:iCs/>
          <w:szCs w:val="24"/>
        </w:rPr>
        <w:t>Ramos v. Nielsen</w:t>
      </w:r>
      <w:r w:rsidRPr="00E53E52">
        <w:rPr>
          <w:rFonts w:ascii="Century Schoolbook" w:hAnsi="Century Schoolbook"/>
          <w:szCs w:val="24"/>
        </w:rPr>
        <w:t xml:space="preserve">, 336 F. Supp. 3d 1075 (N.D. Cal. 2018), </w:t>
      </w:r>
      <w:r w:rsidRPr="00E53E52">
        <w:rPr>
          <w:rFonts w:ascii="Century Schoolbook" w:hAnsi="Century Schoolbook"/>
          <w:i/>
          <w:szCs w:val="24"/>
        </w:rPr>
        <w:t>appeal filed</w:t>
      </w:r>
      <w:r w:rsidRPr="00E53E52">
        <w:rPr>
          <w:rFonts w:ascii="Century Schoolbook" w:hAnsi="Century Schoolbook"/>
          <w:szCs w:val="24"/>
        </w:rPr>
        <w:t xml:space="preserve">, Oct. 12, 2018. The government later agreed not to terminate TPS for Nepal and Honduras while the </w:t>
      </w:r>
      <w:r w:rsidRPr="00E53E52">
        <w:rPr>
          <w:rFonts w:ascii="Century Schoolbook" w:hAnsi="Century Schoolbook"/>
          <w:i/>
          <w:szCs w:val="24"/>
        </w:rPr>
        <w:t>Ramos</w:t>
      </w:r>
      <w:r w:rsidRPr="00E53E52">
        <w:rPr>
          <w:rFonts w:ascii="Century Schoolbook" w:hAnsi="Century Schoolbook"/>
          <w:szCs w:val="24"/>
        </w:rPr>
        <w:t xml:space="preserve"> litigation is pending. </w:t>
      </w:r>
      <w:r w:rsidRPr="00E53E52">
        <w:rPr>
          <w:rFonts w:ascii="Century Schoolbook" w:hAnsi="Century Schoolbook"/>
          <w:i/>
          <w:szCs w:val="24"/>
        </w:rPr>
        <w:t>See</w:t>
      </w:r>
      <w:r w:rsidRPr="00E53E52">
        <w:rPr>
          <w:rFonts w:ascii="Century Schoolbook" w:hAnsi="Century Schoolbook"/>
          <w:szCs w:val="24"/>
        </w:rPr>
        <w:t xml:space="preserve"> </w:t>
      </w:r>
      <w:r w:rsidRPr="00E53E52">
        <w:rPr>
          <w:rFonts w:ascii="Century Schoolbook" w:hAnsi="Century Schoolbook"/>
          <w:i/>
          <w:iCs/>
          <w:szCs w:val="24"/>
        </w:rPr>
        <w:t xml:space="preserve">Bhattarai v. </w:t>
      </w:r>
      <w:r w:rsidRPr="00E53E52">
        <w:rPr>
          <w:rFonts w:ascii="Century Schoolbook" w:hAnsi="Century Schoolbook"/>
          <w:i/>
          <w:iCs/>
        </w:rPr>
        <w:t>Nielsen</w:t>
      </w:r>
      <w:r w:rsidRPr="00E53E52">
        <w:rPr>
          <w:rFonts w:ascii="Century Schoolbook" w:hAnsi="Century Schoolbook"/>
        </w:rPr>
        <w:t xml:space="preserve">, 3:19-cv-00731-EMC (N.D. Cal. Mar. 12, 2019) (stipulation to stay proceedings); </w:t>
      </w:r>
      <w:r w:rsidRPr="00E53E52">
        <w:rPr>
          <w:rFonts w:ascii="Century Schoolbook" w:hAnsi="Century Schoolbook"/>
          <w:color w:val="333333"/>
          <w:shd w:val="clear" w:color="auto" w:fill="D8D8D8"/>
        </w:rPr>
        <w:t xml:space="preserve">84 </w:t>
      </w:r>
      <w:r w:rsidRPr="00E53E52">
        <w:rPr>
          <w:rFonts w:ascii="Century Schoolbook" w:hAnsi="Century Schoolbook"/>
        </w:rPr>
        <w:t>Fed. Reg.</w:t>
      </w:r>
      <w:r w:rsidRPr="00E53E52">
        <w:rPr>
          <w:rFonts w:ascii="Century Schoolbook" w:hAnsi="Century Schoolbook"/>
          <w:szCs w:val="24"/>
        </w:rPr>
        <w:t xml:space="preserve"> </w:t>
      </w:r>
      <w:r w:rsidRPr="00E53E52">
        <w:rPr>
          <w:rFonts w:ascii="Century Schoolbook" w:hAnsi="Century Schoolbook"/>
          <w:color w:val="333333"/>
          <w:shd w:val="clear" w:color="auto" w:fill="D8D8D8"/>
        </w:rPr>
        <w:t>20647</w:t>
      </w:r>
      <w:r w:rsidRPr="00E53E52">
        <w:rPr>
          <w:rFonts w:ascii="Century Schoolbook" w:hAnsi="Century Schoolbook"/>
        </w:rPr>
        <w:t xml:space="preserve"> (May 10, 2019).</w:t>
      </w:r>
    </w:p>
    <w:p w14:paraId="02539E0B" w14:textId="77777777" w:rsidR="00536CBA" w:rsidRPr="00E53E52" w:rsidRDefault="00536CBA" w:rsidP="001D1D6E">
      <w:pPr>
        <w:spacing w:after="120"/>
        <w:rPr>
          <w:rFonts w:ascii="Century Schoolbook" w:hAnsi="Century Schoolbook" w:cs="Times New Roman"/>
        </w:rPr>
      </w:pPr>
      <w:r w:rsidRPr="00E53E52">
        <w:rPr>
          <w:rFonts w:ascii="Century Schoolbook" w:hAnsi="Century Schoolbook" w:cs="Times New Roman"/>
          <w:b/>
        </w:rPr>
        <w:t>p. 974, at end of current Notes, add new Note 6:</w:t>
      </w:r>
    </w:p>
    <w:p w14:paraId="5CE2B3EE" w14:textId="61AF90F2" w:rsidR="00116FF7" w:rsidRPr="00E53E52" w:rsidRDefault="00536CBA" w:rsidP="0036367F">
      <w:pPr>
        <w:pStyle w:val="BodyText"/>
        <w:widowControl/>
        <w:spacing w:after="120"/>
        <w:ind w:firstLine="720"/>
        <w:rPr>
          <w:rFonts w:ascii="Century Schoolbook" w:hAnsi="Century Schoolbook" w:cs="Times New Roman"/>
        </w:rPr>
      </w:pPr>
      <w:r w:rsidRPr="00E53E52">
        <w:rPr>
          <w:rFonts w:ascii="Century Schoolbook" w:hAnsi="Century Schoolbook" w:cs="Times New Roman"/>
        </w:rPr>
        <w:t>6</w:t>
      </w:r>
      <w:r w:rsidR="00027B0C" w:rsidRPr="00E53E52">
        <w:rPr>
          <w:rFonts w:ascii="Century Schoolbook" w:hAnsi="Century Schoolbook" w:cs="Times New Roman"/>
        </w:rPr>
        <w:t xml:space="preserve">. </w:t>
      </w:r>
      <w:r w:rsidRPr="00E53E52">
        <w:rPr>
          <w:rFonts w:ascii="Century Schoolbook" w:hAnsi="Century Schoolbook" w:cs="Times New Roman"/>
        </w:rPr>
        <w:t>In February 2014 UNHCR issued Guidelines on Temporary Protection or Stay Arra</w:t>
      </w:r>
      <w:r w:rsidR="00D777B5" w:rsidRPr="00E53E52">
        <w:rPr>
          <w:rFonts w:ascii="Century Schoolbook" w:hAnsi="Century Schoolbook" w:cs="Times New Roman"/>
        </w:rPr>
        <w:t>n</w:t>
      </w:r>
      <w:r w:rsidRPr="00E53E52">
        <w:rPr>
          <w:rFonts w:ascii="Century Schoolbook" w:hAnsi="Century Schoolbook" w:cs="Times New Roman"/>
        </w:rPr>
        <w:t>gements (TPSAs)</w:t>
      </w:r>
      <w:r w:rsidR="00027B0C" w:rsidRPr="00E53E52">
        <w:rPr>
          <w:rFonts w:ascii="Century Schoolbook" w:hAnsi="Century Schoolbook" w:cs="Times New Roman"/>
        </w:rPr>
        <w:t xml:space="preserve">. </w:t>
      </w:r>
      <w:r w:rsidRPr="00E53E52">
        <w:rPr>
          <w:rFonts w:ascii="Century Schoolbook" w:hAnsi="Century Schoolbook" w:cs="Times New Roman"/>
        </w:rPr>
        <w:t>UNHCR envisions these arrangements as suitable for circumstances in which individual examination of refugee claims is not practica</w:t>
      </w:r>
      <w:r w:rsidR="00D777B5" w:rsidRPr="00E53E52">
        <w:rPr>
          <w:rFonts w:ascii="Century Schoolbook" w:hAnsi="Century Schoolbook" w:cs="Times New Roman"/>
        </w:rPr>
        <w:t xml:space="preserve">l, and refers specifically to </w:t>
      </w:r>
      <w:r w:rsidR="00C909C4" w:rsidRPr="00E53E52">
        <w:rPr>
          <w:rFonts w:ascii="Century Schoolbook" w:hAnsi="Century Schoolbook" w:cs="Times New Roman"/>
        </w:rPr>
        <w:lastRenderedPageBreak/>
        <w:t>“</w:t>
      </w:r>
      <w:r w:rsidR="00D777B5" w:rsidRPr="00E53E52">
        <w:rPr>
          <w:rFonts w:ascii="Century Schoolbook" w:hAnsi="Century Schoolbook" w:cs="Times New Roman"/>
        </w:rPr>
        <w:t>responses to humanitarian crises and complex or mixed population movements</w:t>
      </w:r>
      <w:r w:rsidR="007E3C1C" w:rsidRPr="00E53E52">
        <w:rPr>
          <w:rFonts w:ascii="Century Schoolbook" w:hAnsi="Century Schoolbook" w:cs="Times New Roman"/>
        </w:rPr>
        <w:t>.</w:t>
      </w:r>
      <w:r w:rsidR="00C909C4" w:rsidRPr="00E53E52">
        <w:rPr>
          <w:rFonts w:ascii="Century Schoolbook" w:hAnsi="Century Schoolbook" w:cs="Times New Roman"/>
        </w:rPr>
        <w:t>”</w:t>
      </w:r>
      <w:r w:rsidR="007E3C1C" w:rsidRPr="00E53E52">
        <w:rPr>
          <w:rFonts w:ascii="Century Schoolbook" w:hAnsi="Century Schoolbook" w:cs="Times New Roman"/>
        </w:rPr>
        <w:t xml:space="preserve"> </w:t>
      </w:r>
      <w:r w:rsidRPr="00E53E52">
        <w:rPr>
          <w:rFonts w:ascii="Century Schoolbook" w:hAnsi="Century Schoolbook" w:cs="Times New Roman"/>
        </w:rPr>
        <w:t xml:space="preserve">UNHCR, Guidelines on Temporary Protection or Stay Arrangements, </w:t>
      </w:r>
      <w:hyperlink r:id="rId56" w:history="1">
        <w:r w:rsidR="00D777B5" w:rsidRPr="00E53E52">
          <w:rPr>
            <w:rStyle w:val="Hyperlink"/>
            <w:rFonts w:eastAsiaTheme="minorHAnsi"/>
            <w:sz w:val="22"/>
            <w:szCs w:val="22"/>
          </w:rPr>
          <w:t>http://refworld.org/docid/52fba2404.html</w:t>
        </w:r>
      </w:hyperlink>
      <w:r w:rsidR="00027B0C" w:rsidRPr="00E53E52">
        <w:rPr>
          <w:rFonts w:ascii="Century Schoolbook" w:hAnsi="Century Schoolbook" w:cs="Times New Roman"/>
        </w:rPr>
        <w:t xml:space="preserve">. </w:t>
      </w:r>
    </w:p>
    <w:p w14:paraId="001DAA8D" w14:textId="77777777" w:rsidR="00B27F6D" w:rsidRPr="00E53E52" w:rsidRDefault="00B27F6D" w:rsidP="001D1D6E">
      <w:pPr>
        <w:spacing w:after="120"/>
        <w:rPr>
          <w:rFonts w:ascii="Century Schoolbook" w:hAnsi="Century Schoolbook" w:cs="Times New Roman"/>
          <w:b/>
        </w:rPr>
      </w:pPr>
      <w:r w:rsidRPr="00E53E52">
        <w:rPr>
          <w:rFonts w:ascii="Century Schoolbook" w:hAnsi="Century Schoolbook" w:cs="Times New Roman"/>
          <w:b/>
        </w:rPr>
        <w:t xml:space="preserve">p. 985, add new </w:t>
      </w:r>
      <w:r w:rsidR="004A04E7" w:rsidRPr="00E53E52">
        <w:rPr>
          <w:rFonts w:ascii="Century Schoolbook" w:hAnsi="Century Schoolbook" w:cs="Times New Roman"/>
          <w:b/>
        </w:rPr>
        <w:t xml:space="preserve">heading and </w:t>
      </w:r>
      <w:r w:rsidRPr="00E53E52">
        <w:rPr>
          <w:rFonts w:ascii="Century Schoolbook" w:hAnsi="Century Schoolbook" w:cs="Times New Roman"/>
          <w:b/>
        </w:rPr>
        <w:t xml:space="preserve">text after the carryover paragraph: </w:t>
      </w:r>
    </w:p>
    <w:p w14:paraId="0D249BB9" w14:textId="42FEBC8D" w:rsidR="004A04E7" w:rsidRPr="00E53E52" w:rsidRDefault="004A04E7" w:rsidP="001D1D6E">
      <w:pPr>
        <w:pStyle w:val="TextParagraph"/>
        <w:spacing w:after="120" w:line="276" w:lineRule="auto"/>
        <w:ind w:firstLine="0"/>
        <w:rPr>
          <w:b/>
          <w:sz w:val="22"/>
          <w:szCs w:val="22"/>
        </w:rPr>
      </w:pPr>
      <w:r w:rsidRPr="00E53E52">
        <w:rPr>
          <w:b/>
          <w:sz w:val="22"/>
          <w:szCs w:val="22"/>
        </w:rPr>
        <w:t>c.</w:t>
      </w:r>
      <w:r w:rsidR="00810FDA" w:rsidRPr="00E53E52">
        <w:rPr>
          <w:b/>
          <w:sz w:val="22"/>
          <w:szCs w:val="22"/>
        </w:rPr>
        <w:t xml:space="preserve"> </w:t>
      </w:r>
      <w:r w:rsidRPr="00E53E52">
        <w:rPr>
          <w:b/>
          <w:sz w:val="22"/>
          <w:szCs w:val="22"/>
        </w:rPr>
        <w:t>Childhood Arrivals and Parents of U.S. Citizens and Lawful Permanent Residents</w:t>
      </w:r>
    </w:p>
    <w:p w14:paraId="5076BA09" w14:textId="6F1BE81F" w:rsidR="004A04E7" w:rsidRPr="00E53E52" w:rsidRDefault="004A04E7" w:rsidP="001D1D6E">
      <w:pPr>
        <w:pStyle w:val="BodyText"/>
        <w:widowControl/>
        <w:spacing w:after="120"/>
        <w:ind w:firstLine="720"/>
        <w:rPr>
          <w:rFonts w:ascii="Century Schoolbook" w:hAnsi="Century Schoolbook"/>
        </w:rPr>
      </w:pPr>
      <w:r w:rsidRPr="00E53E52">
        <w:rPr>
          <w:rFonts w:ascii="Century Schoolbook" w:hAnsi="Century Schoolbook"/>
        </w:rPr>
        <w:t xml:space="preserve">The exercise of prosecutorial discretion in the context of immigration enforcement became front page news in June 2012 when DHS Secretary Janet Napolitano announced Deferred Action For Childhood Arrivals (DACA). The DACA guidelines provide that individuals who came to the United States as young children can seek the exercise of prosecutorial discretion to defer their removal from the United States for a renewable two–year period. Though deferred action does not convey a lawful status, approved DACA applicants </w:t>
      </w:r>
      <w:r w:rsidR="007D1416" w:rsidRPr="00E53E52">
        <w:rPr>
          <w:rFonts w:ascii="Century Schoolbook" w:hAnsi="Century Schoolbook"/>
        </w:rPr>
        <w:t xml:space="preserve">are not unlawfully present and </w:t>
      </w:r>
      <w:r w:rsidRPr="00E53E52">
        <w:rPr>
          <w:rFonts w:ascii="Century Schoolbook" w:hAnsi="Century Schoolbook"/>
        </w:rPr>
        <w:t>can receive work authorization. The eligibility criteria for DACA follow:</w:t>
      </w:r>
    </w:p>
    <w:p w14:paraId="75CBCB77" w14:textId="77777777" w:rsidR="004A04E7" w:rsidRPr="00E53E52" w:rsidRDefault="004A04E7" w:rsidP="006E4C5A">
      <w:pPr>
        <w:pStyle w:val="NoteTextParagraph"/>
        <w:numPr>
          <w:ilvl w:val="0"/>
          <w:numId w:val="5"/>
        </w:numPr>
        <w:spacing w:after="120" w:line="276" w:lineRule="auto"/>
        <w:ind w:left="1080"/>
        <w:rPr>
          <w:sz w:val="22"/>
          <w:szCs w:val="22"/>
        </w:rPr>
      </w:pPr>
      <w:r w:rsidRPr="00E53E52">
        <w:rPr>
          <w:sz w:val="22"/>
          <w:szCs w:val="22"/>
        </w:rPr>
        <w:t>The applicant was under the age of 31 as of June 15, 2012</w:t>
      </w:r>
    </w:p>
    <w:p w14:paraId="26498DD7" w14:textId="77777777" w:rsidR="004A04E7" w:rsidRPr="00E53E52" w:rsidRDefault="004A04E7" w:rsidP="006E4C5A">
      <w:pPr>
        <w:pStyle w:val="NoteTextParagraph"/>
        <w:numPr>
          <w:ilvl w:val="0"/>
          <w:numId w:val="5"/>
        </w:numPr>
        <w:spacing w:after="120" w:line="276" w:lineRule="auto"/>
        <w:ind w:left="1080"/>
        <w:rPr>
          <w:sz w:val="22"/>
          <w:szCs w:val="22"/>
        </w:rPr>
      </w:pPr>
      <w:r w:rsidRPr="00E53E52">
        <w:rPr>
          <w:sz w:val="22"/>
          <w:szCs w:val="22"/>
        </w:rPr>
        <w:t xml:space="preserve">The applicant came to the United States before the age of 16 </w:t>
      </w:r>
    </w:p>
    <w:p w14:paraId="6ED34373" w14:textId="77777777" w:rsidR="004A04E7" w:rsidRPr="00E53E52" w:rsidRDefault="004A04E7" w:rsidP="006E4C5A">
      <w:pPr>
        <w:pStyle w:val="NoteTextParagraph"/>
        <w:numPr>
          <w:ilvl w:val="0"/>
          <w:numId w:val="5"/>
        </w:numPr>
        <w:spacing w:after="120" w:line="276" w:lineRule="auto"/>
        <w:ind w:left="1080"/>
        <w:rPr>
          <w:sz w:val="22"/>
          <w:szCs w:val="22"/>
        </w:rPr>
      </w:pPr>
      <w:r w:rsidRPr="00E53E52">
        <w:rPr>
          <w:sz w:val="22"/>
          <w:szCs w:val="22"/>
        </w:rPr>
        <w:t>The applicant has continuously resided in the United States since June 15, 2007</w:t>
      </w:r>
    </w:p>
    <w:p w14:paraId="39CF8485" w14:textId="77777777" w:rsidR="004A04E7" w:rsidRPr="00E53E52" w:rsidRDefault="004A04E7" w:rsidP="006E4C5A">
      <w:pPr>
        <w:pStyle w:val="NoteTextParagraph"/>
        <w:numPr>
          <w:ilvl w:val="0"/>
          <w:numId w:val="5"/>
        </w:numPr>
        <w:spacing w:after="120" w:line="276" w:lineRule="auto"/>
        <w:ind w:left="1080"/>
        <w:rPr>
          <w:sz w:val="22"/>
          <w:szCs w:val="22"/>
        </w:rPr>
      </w:pPr>
      <w:r w:rsidRPr="00E53E52">
        <w:rPr>
          <w:sz w:val="22"/>
          <w:szCs w:val="22"/>
        </w:rPr>
        <w:t xml:space="preserve">The applicant was physically present in the United States on June 15, 2012 </w:t>
      </w:r>
    </w:p>
    <w:p w14:paraId="691BB1F7" w14:textId="77777777" w:rsidR="004A04E7" w:rsidRPr="00E53E52" w:rsidRDefault="004A04E7" w:rsidP="006E4C5A">
      <w:pPr>
        <w:pStyle w:val="NoteTextParagraph"/>
        <w:numPr>
          <w:ilvl w:val="0"/>
          <w:numId w:val="5"/>
        </w:numPr>
        <w:spacing w:after="120" w:line="276" w:lineRule="auto"/>
        <w:ind w:left="1080"/>
        <w:rPr>
          <w:sz w:val="22"/>
          <w:szCs w:val="22"/>
        </w:rPr>
      </w:pPr>
      <w:r w:rsidRPr="00E53E52">
        <w:rPr>
          <w:sz w:val="22"/>
          <w:szCs w:val="22"/>
        </w:rPr>
        <w:t>The applicant entered without inspection before June 15, 2012 or his or her lawful immigration status expired as of June 15, 2012</w:t>
      </w:r>
    </w:p>
    <w:p w14:paraId="66872DCA" w14:textId="77777777" w:rsidR="004A04E7" w:rsidRPr="00E53E52" w:rsidRDefault="004A04E7" w:rsidP="006E4C5A">
      <w:pPr>
        <w:pStyle w:val="NoteTextParagraph"/>
        <w:numPr>
          <w:ilvl w:val="0"/>
          <w:numId w:val="5"/>
        </w:numPr>
        <w:spacing w:after="120" w:line="276" w:lineRule="auto"/>
        <w:ind w:left="1080"/>
        <w:rPr>
          <w:sz w:val="22"/>
          <w:szCs w:val="22"/>
        </w:rPr>
      </w:pPr>
      <w:r w:rsidRPr="00E53E52">
        <w:rPr>
          <w:sz w:val="22"/>
          <w:szCs w:val="22"/>
        </w:rPr>
        <w:t>The applicant is currently in school, has graduated from high school, has obtained a certificate of completion or a GED certificate, or is an honorably discharged veteran</w:t>
      </w:r>
    </w:p>
    <w:p w14:paraId="6AF48F26" w14:textId="77777777" w:rsidR="004A04E7" w:rsidRPr="00E53E52" w:rsidRDefault="004A04E7" w:rsidP="006E4C5A">
      <w:pPr>
        <w:pStyle w:val="NoteTextParagraph"/>
        <w:numPr>
          <w:ilvl w:val="0"/>
          <w:numId w:val="5"/>
        </w:numPr>
        <w:spacing w:after="120" w:line="276" w:lineRule="auto"/>
        <w:ind w:left="1080"/>
        <w:rPr>
          <w:caps/>
          <w:sz w:val="22"/>
          <w:szCs w:val="22"/>
        </w:rPr>
      </w:pPr>
      <w:r w:rsidRPr="00E53E52">
        <w:rPr>
          <w:sz w:val="22"/>
          <w:szCs w:val="22"/>
        </w:rPr>
        <w:t>The applicant has not been convicted of a felony, significant misdemeanor, or three or more other misdemeanors, and does not pose a threat to public safety or national security.</w:t>
      </w:r>
    </w:p>
    <w:p w14:paraId="43248CCE" w14:textId="16C7C38B" w:rsidR="004A04E7" w:rsidRPr="00E53E52" w:rsidRDefault="004A04E7" w:rsidP="001D1D6E">
      <w:pPr>
        <w:pStyle w:val="BodyText"/>
        <w:widowControl/>
        <w:spacing w:after="120"/>
        <w:ind w:firstLine="720"/>
        <w:rPr>
          <w:rFonts w:ascii="Century Schoolbook" w:hAnsi="Century Schoolbook"/>
        </w:rPr>
      </w:pPr>
      <w:r w:rsidRPr="00E53E52">
        <w:rPr>
          <w:rFonts w:ascii="Century Schoolbook" w:hAnsi="Century Schoolbook"/>
        </w:rPr>
        <w:t>As of March 31, 201</w:t>
      </w:r>
      <w:r w:rsidR="00E86B2C" w:rsidRPr="00E53E52">
        <w:rPr>
          <w:rFonts w:ascii="Century Schoolbook" w:hAnsi="Century Schoolbook"/>
        </w:rPr>
        <w:t>7</w:t>
      </w:r>
      <w:r w:rsidRPr="00E53E52">
        <w:rPr>
          <w:rFonts w:ascii="Century Schoolbook" w:hAnsi="Century Schoolbook"/>
        </w:rPr>
        <w:t xml:space="preserve">, </w:t>
      </w:r>
      <w:r w:rsidR="00E86B2C" w:rsidRPr="00E53E52">
        <w:rPr>
          <w:rFonts w:ascii="Century Schoolbook" w:hAnsi="Century Schoolbook"/>
        </w:rPr>
        <w:t>1,</w:t>
      </w:r>
      <w:r w:rsidR="00C363E9" w:rsidRPr="00E53E52">
        <w:rPr>
          <w:rFonts w:ascii="Century Schoolbook" w:hAnsi="Century Schoolbook"/>
        </w:rPr>
        <w:t>586,657</w:t>
      </w:r>
      <w:r w:rsidRPr="00E53E52">
        <w:rPr>
          <w:rFonts w:ascii="Century Schoolbook" w:hAnsi="Century Schoolbook"/>
        </w:rPr>
        <w:t xml:space="preserve"> of </w:t>
      </w:r>
      <w:r w:rsidR="00C363E9" w:rsidRPr="00E53E52">
        <w:rPr>
          <w:rFonts w:ascii="Century Schoolbook" w:hAnsi="Century Schoolbook"/>
        </w:rPr>
        <w:t>1,</w:t>
      </w:r>
      <w:r w:rsidRPr="00E53E52">
        <w:rPr>
          <w:rFonts w:ascii="Century Schoolbook" w:hAnsi="Century Schoolbook"/>
        </w:rPr>
        <w:t>7</w:t>
      </w:r>
      <w:r w:rsidR="00C363E9" w:rsidRPr="00E53E52">
        <w:rPr>
          <w:rFonts w:ascii="Century Schoolbook" w:hAnsi="Century Schoolbook"/>
        </w:rPr>
        <w:t>71,475</w:t>
      </w:r>
      <w:r w:rsidRPr="00E53E52">
        <w:rPr>
          <w:rFonts w:ascii="Century Schoolbook" w:hAnsi="Century Schoolbook"/>
        </w:rPr>
        <w:t xml:space="preserve"> initial DACA applications had been approved. Those with expiring initial two-year DACA periods have been able to file renewal applications. As of March 31, 201</w:t>
      </w:r>
      <w:r w:rsidR="00AA2971" w:rsidRPr="00E53E52">
        <w:rPr>
          <w:rFonts w:ascii="Century Schoolbook" w:hAnsi="Century Schoolbook"/>
        </w:rPr>
        <w:t>7</w:t>
      </w:r>
      <w:r w:rsidRPr="00E53E52">
        <w:rPr>
          <w:rFonts w:ascii="Century Schoolbook" w:hAnsi="Century Schoolbook"/>
        </w:rPr>
        <w:t xml:space="preserve">, USCIS received </w:t>
      </w:r>
      <w:r w:rsidR="00AA2971" w:rsidRPr="00E53E52">
        <w:rPr>
          <w:rFonts w:ascii="Century Schoolbook" w:hAnsi="Century Schoolbook"/>
        </w:rPr>
        <w:t>884,661</w:t>
      </w:r>
      <w:r w:rsidRPr="00E53E52">
        <w:rPr>
          <w:rFonts w:ascii="Century Schoolbook" w:hAnsi="Century Schoolbook"/>
        </w:rPr>
        <w:t xml:space="preserve"> renewal applications and approved </w:t>
      </w:r>
      <w:r w:rsidR="008820A4" w:rsidRPr="00E53E52">
        <w:rPr>
          <w:rFonts w:ascii="Century Schoolbook" w:hAnsi="Century Schoolbook"/>
        </w:rPr>
        <w:t>779,007</w:t>
      </w:r>
      <w:r w:rsidRPr="00E53E52">
        <w:rPr>
          <w:rFonts w:ascii="Century Schoolbook" w:hAnsi="Century Schoolbook"/>
        </w:rPr>
        <w:t xml:space="preserve"> of them. Updated statistics on DACA applications can be found on the USCIS website at</w:t>
      </w:r>
    </w:p>
    <w:p w14:paraId="6C3A992B" w14:textId="77777777" w:rsidR="004A04E7" w:rsidRPr="00E53E52" w:rsidRDefault="001C3406" w:rsidP="00D87760">
      <w:pPr>
        <w:pStyle w:val="NoteTextParagraph"/>
        <w:spacing w:before="0" w:after="120" w:line="276" w:lineRule="auto"/>
        <w:ind w:left="720" w:right="720" w:firstLine="0"/>
        <w:rPr>
          <w:sz w:val="22"/>
          <w:szCs w:val="22"/>
        </w:rPr>
      </w:pPr>
      <w:hyperlink r:id="rId57" w:history="1">
        <w:r w:rsidR="004A04E7" w:rsidRPr="00E53E52">
          <w:rPr>
            <w:rStyle w:val="Hyperlink"/>
            <w:sz w:val="22"/>
            <w:szCs w:val="22"/>
          </w:rPr>
          <w:t>http://www.uscis.gov/tools/reports-studies/immigration-forms-data/data-set-form-i-821d-deferred-action-childhood-arrivals</w:t>
        </w:r>
      </w:hyperlink>
    </w:p>
    <w:p w14:paraId="1F12FAC3" w14:textId="0B9D0BD0" w:rsidR="004A04E7" w:rsidRPr="00E53E52" w:rsidRDefault="004A04E7" w:rsidP="001D1D6E">
      <w:pPr>
        <w:pStyle w:val="BodyText"/>
        <w:widowControl/>
        <w:spacing w:after="120"/>
        <w:ind w:firstLine="0"/>
        <w:rPr>
          <w:rFonts w:ascii="Century Schoolbook" w:hAnsi="Century Schoolbook"/>
        </w:rPr>
      </w:pPr>
      <w:r w:rsidRPr="00E53E52">
        <w:rPr>
          <w:rFonts w:ascii="Century Schoolbook" w:hAnsi="Century Schoolbook"/>
        </w:rPr>
        <w:t>Interesting data on the opportunities opened to DACA recipients, such as obtaining driver</w:t>
      </w:r>
      <w:r w:rsidR="00C909C4" w:rsidRPr="00E53E52">
        <w:rPr>
          <w:rFonts w:ascii="Century Schoolbook" w:hAnsi="Century Schoolbook"/>
        </w:rPr>
        <w:t>’</w:t>
      </w:r>
      <w:r w:rsidRPr="00E53E52">
        <w:rPr>
          <w:rFonts w:ascii="Century Schoolbook" w:hAnsi="Century Schoolbook"/>
        </w:rPr>
        <w:t xml:space="preserve">s licenses, opening bank accounts, and finding new jobs, can be found in Roberto G. Gonzales &amp; Angie M. Bautista-Chavez, </w:t>
      </w:r>
      <w:r w:rsidRPr="00E53E52">
        <w:rPr>
          <w:rFonts w:ascii="Century Schoolbook" w:hAnsi="Century Schoolbook"/>
          <w:i/>
        </w:rPr>
        <w:t>Two Years and Counting: Assessing the Growing Power of DACA</w:t>
      </w:r>
      <w:r w:rsidRPr="00E53E52">
        <w:rPr>
          <w:rFonts w:ascii="Century Schoolbook" w:hAnsi="Century Schoolbook"/>
        </w:rPr>
        <w:t xml:space="preserve">, American Immigration Council (Special Report, June 2014), available at http:// </w:t>
      </w:r>
      <w:hyperlink r:id="rId58" w:history="1">
        <w:r w:rsidRPr="00E53E52">
          <w:rPr>
            <w:rStyle w:val="Hyperlink"/>
            <w:rFonts w:eastAsiaTheme="minorHAnsi"/>
            <w:sz w:val="22"/>
            <w:szCs w:val="22"/>
          </w:rPr>
          <w:t>www.immigrationpolicy.org/special-reports/two-years-and-counting-assessing-growing-power-daca</w:t>
        </w:r>
      </w:hyperlink>
      <w:r w:rsidRPr="00E53E52">
        <w:rPr>
          <w:rFonts w:ascii="Century Schoolbook" w:hAnsi="Century Schoolbook"/>
        </w:rPr>
        <w:t xml:space="preserve">. Other useful reviews of the DACA program and those seeking relief under it can be found in Tom K. Wong, Kelly K. Richter, Ignacia Rodriguez &amp; Philip Wolgin, </w:t>
      </w:r>
      <w:r w:rsidRPr="00E53E52">
        <w:rPr>
          <w:rFonts w:ascii="Century Schoolbook" w:hAnsi="Century Schoolbook"/>
          <w:i/>
        </w:rPr>
        <w:t>Results from a Nationwide Survey of DACA Recipients Illustrate the Program</w:t>
      </w:r>
      <w:r w:rsidR="00C909C4" w:rsidRPr="00E53E52">
        <w:rPr>
          <w:rFonts w:ascii="Century Schoolbook" w:hAnsi="Century Schoolbook"/>
          <w:i/>
        </w:rPr>
        <w:t>’</w:t>
      </w:r>
      <w:r w:rsidRPr="00E53E52">
        <w:rPr>
          <w:rFonts w:ascii="Century Schoolbook" w:hAnsi="Century Schoolbook"/>
          <w:i/>
        </w:rPr>
        <w:t>s Impact</w:t>
      </w:r>
      <w:r w:rsidRPr="00E53E52">
        <w:rPr>
          <w:rFonts w:ascii="Century Schoolbook" w:hAnsi="Century Schoolbook"/>
        </w:rPr>
        <w:t xml:space="preserve">, Center for American Progress (July 2015), available at </w:t>
      </w:r>
      <w:hyperlink r:id="rId59" w:history="1">
        <w:r w:rsidRPr="00E53E52">
          <w:rPr>
            <w:rStyle w:val="Hyperlink"/>
            <w:rFonts w:eastAsiaTheme="minorHAnsi"/>
            <w:sz w:val="22"/>
            <w:szCs w:val="22"/>
          </w:rPr>
          <w:t>https://www.americanprogress.org/issues/immigration/news/2015/07/09/117054/results-from-a-nationwide-survey-of-daca-recipients-illustrate-the-programs-impact/</w:t>
        </w:r>
      </w:hyperlink>
      <w:r w:rsidRPr="00E53E52">
        <w:rPr>
          <w:rFonts w:ascii="Century Schoolbook" w:hAnsi="Century Schoolbook"/>
        </w:rPr>
        <w:t xml:space="preserve">; Tom K. Wong, Angela S. Garcia, Marisa Abrajano, David FitzGerald, Karthick Ramakrishnan &amp; Sally Le, </w:t>
      </w:r>
      <w:r w:rsidRPr="00E53E52">
        <w:rPr>
          <w:rFonts w:ascii="Century Schoolbook" w:hAnsi="Century Schoolbook"/>
          <w:i/>
        </w:rPr>
        <w:t>Undocumented No More: A Nationwide Analysis of Deferred Action for Childhood Arrivals, or DACA</w:t>
      </w:r>
      <w:r w:rsidRPr="00E53E52">
        <w:rPr>
          <w:rFonts w:ascii="Century Schoolbook" w:hAnsi="Century Schoolbook"/>
        </w:rPr>
        <w:t xml:space="preserve">, Center for American Progress (Sept. 2013), available at </w:t>
      </w:r>
      <w:hyperlink r:id="rId60" w:history="1">
        <w:r w:rsidRPr="00E53E52">
          <w:rPr>
            <w:rStyle w:val="Hyperlink"/>
            <w:rFonts w:eastAsiaTheme="minorHAnsi"/>
            <w:sz w:val="22"/>
            <w:szCs w:val="22"/>
          </w:rPr>
          <w:t>http://www.americanprogress.org/issues/immigration/report/2013/09/20/74599/undocumented-no-more/</w:t>
        </w:r>
      </w:hyperlink>
      <w:r w:rsidRPr="00E53E52">
        <w:rPr>
          <w:rFonts w:ascii="Century Schoolbook" w:hAnsi="Century Schoolbook"/>
          <w:color w:val="1F497D"/>
        </w:rPr>
        <w:t xml:space="preserve">; </w:t>
      </w:r>
      <w:r w:rsidRPr="00E53E52">
        <w:rPr>
          <w:rFonts w:ascii="Century Schoolbook" w:hAnsi="Century Schoolbook"/>
        </w:rPr>
        <w:t xml:space="preserve">Angelo Mathay &amp; Margie McHugh, </w:t>
      </w:r>
      <w:r w:rsidRPr="00E53E52">
        <w:rPr>
          <w:rFonts w:ascii="Century Schoolbook" w:hAnsi="Century Schoolbook"/>
          <w:i/>
        </w:rPr>
        <w:t>DACA at the Three-Year Mark: High Pace of Renewals, But Processing Difficulties Evident</w:t>
      </w:r>
      <w:r w:rsidRPr="00E53E52">
        <w:rPr>
          <w:rFonts w:ascii="Century Schoolbook" w:hAnsi="Century Schoolbook"/>
        </w:rPr>
        <w:t xml:space="preserve">, Migration Policy Institute Issue Brief (Aug. 2015), available at </w:t>
      </w:r>
      <w:hyperlink r:id="rId61" w:history="1">
        <w:r w:rsidRPr="00E53E52">
          <w:rPr>
            <w:rStyle w:val="Hyperlink"/>
            <w:rFonts w:eastAsiaTheme="minorHAnsi"/>
            <w:sz w:val="22"/>
            <w:szCs w:val="22"/>
          </w:rPr>
          <w:t>http://www.migrationpolicy.org/research/daca-three-year-mark-high-pace-renewals-processing-difficulties-evident</w:t>
        </w:r>
      </w:hyperlink>
      <w:r w:rsidRPr="00E53E52">
        <w:rPr>
          <w:rFonts w:ascii="Century Schoolbook" w:hAnsi="Century Schoolbook"/>
        </w:rPr>
        <w:t xml:space="preserve">; Elizabeth Carlson, </w:t>
      </w:r>
      <w:r w:rsidRPr="00E53E52">
        <w:rPr>
          <w:rFonts w:ascii="Century Schoolbook" w:hAnsi="Century Schoolbook"/>
          <w:i/>
        </w:rPr>
        <w:t>A Practitioner</w:t>
      </w:r>
      <w:r w:rsidR="00C909C4" w:rsidRPr="00E53E52">
        <w:rPr>
          <w:rFonts w:ascii="Century Schoolbook" w:hAnsi="Century Schoolbook"/>
          <w:i/>
        </w:rPr>
        <w:t>’</w:t>
      </w:r>
      <w:r w:rsidRPr="00E53E52">
        <w:rPr>
          <w:rFonts w:ascii="Century Schoolbook" w:hAnsi="Century Schoolbook"/>
          <w:i/>
        </w:rPr>
        <w:t>s Guide to Deferred Action for Childhood Arrivals</w:t>
      </w:r>
      <w:r w:rsidRPr="00E53E52">
        <w:rPr>
          <w:rFonts w:ascii="Century Schoolbook" w:hAnsi="Century Schoolbook"/>
        </w:rPr>
        <w:t>, 13–03 Immigr. Briefings (Mar. 2013).</w:t>
      </w:r>
    </w:p>
    <w:p w14:paraId="362AD34C" w14:textId="4079A355" w:rsidR="004A04E7" w:rsidRPr="00E53E52" w:rsidRDefault="004A04E7" w:rsidP="001D1D6E">
      <w:pPr>
        <w:pStyle w:val="BodyText"/>
        <w:widowControl/>
        <w:spacing w:after="120"/>
        <w:ind w:firstLine="720"/>
        <w:rPr>
          <w:rFonts w:ascii="Century Schoolbook" w:hAnsi="Century Schoolbook" w:cs="Arial"/>
        </w:rPr>
      </w:pPr>
      <w:r w:rsidRPr="00E53E52">
        <w:rPr>
          <w:rFonts w:ascii="Century Schoolbook" w:hAnsi="Century Schoolbook" w:cs="Arial"/>
        </w:rPr>
        <w:t>The second phase of President Obama</w:t>
      </w:r>
      <w:r w:rsidR="00C909C4" w:rsidRPr="00E53E52">
        <w:rPr>
          <w:rFonts w:ascii="Century Schoolbook" w:hAnsi="Century Schoolbook" w:cs="Arial"/>
        </w:rPr>
        <w:t>’</w:t>
      </w:r>
      <w:r w:rsidRPr="00E53E52">
        <w:rPr>
          <w:rFonts w:ascii="Century Schoolbook" w:hAnsi="Century Schoolbook" w:cs="Arial"/>
        </w:rPr>
        <w:t xml:space="preserve">s executive actions arrived in November 2014, when he announced an expansion of the DACA program in several dimensions. One expansion was to eliminate the maximum age limit of thirty-one years. The second change was to move up from June 15, 2007, to January 1, 2010, the date by which noncitizens must have come to the United States. According to one estimate, the combination of these two changes would make approximately 290,000 additional noncitizens eligible for DACA. </w:t>
      </w:r>
      <w:r w:rsidRPr="00E53E52">
        <w:rPr>
          <w:rFonts w:ascii="Century Schoolbook" w:hAnsi="Century Schoolbook"/>
          <w:i/>
        </w:rPr>
        <w:t xml:space="preserve">See </w:t>
      </w:r>
      <w:r w:rsidRPr="00E53E52">
        <w:rPr>
          <w:rFonts w:ascii="Century Schoolbook" w:hAnsi="Century Schoolbook"/>
          <w:color w:val="000000" w:themeColor="text1"/>
        </w:rPr>
        <w:t xml:space="preserve">Migration Policy Institute, </w:t>
      </w:r>
      <w:r w:rsidRPr="00E53E52">
        <w:rPr>
          <w:rFonts w:ascii="Century Schoolbook" w:hAnsi="Century Schoolbook"/>
          <w:i/>
          <w:color w:val="000000" w:themeColor="text1"/>
          <w:kern w:val="36"/>
        </w:rPr>
        <w:t>MPI: As Many as 3.7 Million Unauthorized Immigrants Could Get Relief from Deportation under Anticipated New Deferred Action Program</w:t>
      </w:r>
      <w:r w:rsidRPr="00E53E52">
        <w:rPr>
          <w:rFonts w:ascii="Century Schoolbook" w:hAnsi="Century Schoolbook"/>
          <w:color w:val="000000" w:themeColor="text1"/>
          <w:kern w:val="36"/>
        </w:rPr>
        <w:t xml:space="preserve"> (press release, Nov. 19, 2014), </w:t>
      </w:r>
      <w:hyperlink r:id="rId62" w:history="1">
        <w:r w:rsidRPr="00E53E52">
          <w:rPr>
            <w:rStyle w:val="Hyperlink"/>
            <w:rFonts w:eastAsiaTheme="minorHAnsi"/>
            <w:sz w:val="22"/>
            <w:szCs w:val="22"/>
          </w:rPr>
          <w:t>http://www.migrationpolicy.org/news/mpi-many-37-million-unauthorized-immigrants-could-get-relief-deportation-under-anticipated-new</w:t>
        </w:r>
      </w:hyperlink>
      <w:r w:rsidRPr="00E53E52">
        <w:rPr>
          <w:rFonts w:ascii="Century Schoolbook" w:hAnsi="Century Schoolbook"/>
        </w:rPr>
        <w:t xml:space="preserve">. </w:t>
      </w:r>
      <w:r w:rsidRPr="00E53E52">
        <w:rPr>
          <w:rFonts w:ascii="Century Schoolbook" w:hAnsi="Century Schoolbook" w:cs="Arial"/>
        </w:rPr>
        <w:t>The third change in DACA was to lengthen from two to three years the duration of a DACA grant.</w:t>
      </w:r>
      <w:r w:rsidR="00810FDA" w:rsidRPr="00E53E52">
        <w:rPr>
          <w:rFonts w:ascii="Century Schoolbook" w:hAnsi="Century Schoolbook" w:cs="Arial"/>
        </w:rPr>
        <w:t xml:space="preserve"> </w:t>
      </w:r>
      <w:r w:rsidRPr="00E53E52">
        <w:rPr>
          <w:rFonts w:ascii="Century Schoolbook" w:hAnsi="Century Schoolbook" w:cs="Arial"/>
        </w:rPr>
        <w:t>The expanded DACA was the same as the original version in all other respects.</w:t>
      </w:r>
      <w:r w:rsidR="00810FDA" w:rsidRPr="00E53E52">
        <w:rPr>
          <w:rFonts w:ascii="Century Schoolbook" w:hAnsi="Century Schoolbook" w:cs="Arial"/>
        </w:rPr>
        <w:t xml:space="preserve"> </w:t>
      </w:r>
    </w:p>
    <w:p w14:paraId="23F8D6E3" w14:textId="70E02E67" w:rsidR="004A04E7" w:rsidRPr="00E53E52" w:rsidRDefault="004A04E7" w:rsidP="001D1D6E">
      <w:pPr>
        <w:pStyle w:val="BodyText"/>
        <w:widowControl/>
        <w:spacing w:after="120"/>
        <w:ind w:firstLine="720"/>
        <w:rPr>
          <w:rFonts w:ascii="Century Schoolbook" w:hAnsi="Century Schoolbook" w:cs="Arial"/>
        </w:rPr>
      </w:pPr>
      <w:r w:rsidRPr="00E53E52">
        <w:rPr>
          <w:rFonts w:ascii="Century Schoolbook" w:hAnsi="Century Schoolbook" w:cs="Arial"/>
        </w:rPr>
        <w:t>At the same time that the President announced this expansion of DACA, he also launched a new deferred action program called Deferred Action for Parents of Americans and Lawful Permanent Residents (DAPA). DAPA would provide DACA-like temporary reprieves from deportation to parents of U.S. citizens and lawful permanent residents. These parents had to have been in the United States for five years before the program was announced in November 2014. Successful applicants would, as in the expanded DACA program, have a renewable but revocable reprieve for three years, and they would be eligible for employment authorization based on a showing of economic necessity. As with DACA, certain criminal convictions would be categorically disqualifying. According to one estimate, about 3.7 million people would qualify for DAPA.</w:t>
      </w:r>
      <w:r w:rsidR="00810FDA" w:rsidRPr="00E53E52">
        <w:rPr>
          <w:rFonts w:ascii="Century Schoolbook" w:hAnsi="Century Schoolbook" w:cs="Arial"/>
        </w:rPr>
        <w:t xml:space="preserve"> </w:t>
      </w:r>
      <w:r w:rsidRPr="00E53E52">
        <w:rPr>
          <w:rFonts w:ascii="Century Schoolbook" w:hAnsi="Century Schoolbook"/>
          <w:i/>
        </w:rPr>
        <w:t xml:space="preserve">See </w:t>
      </w:r>
      <w:r w:rsidRPr="00E53E52">
        <w:rPr>
          <w:rFonts w:ascii="Century Schoolbook" w:hAnsi="Century Schoolbook"/>
          <w:color w:val="000000" w:themeColor="text1"/>
        </w:rPr>
        <w:t xml:space="preserve">Migration Policy Institute, </w:t>
      </w:r>
      <w:r w:rsidRPr="00E53E52">
        <w:rPr>
          <w:rFonts w:ascii="Century Schoolbook" w:hAnsi="Century Schoolbook"/>
          <w:i/>
          <w:color w:val="000000" w:themeColor="text1"/>
          <w:kern w:val="36"/>
        </w:rPr>
        <w:t>MPI: As Many as 3.7 Million Unauthorized Immigrants Could Get Relief from Deportation under Anticipated New Deferred Action Program</w:t>
      </w:r>
      <w:r w:rsidRPr="00E53E52">
        <w:rPr>
          <w:rFonts w:ascii="Century Schoolbook" w:hAnsi="Century Schoolbook"/>
          <w:color w:val="000000" w:themeColor="text1"/>
          <w:kern w:val="36"/>
        </w:rPr>
        <w:t xml:space="preserve">, </w:t>
      </w:r>
      <w:r w:rsidRPr="00E53E52">
        <w:rPr>
          <w:rFonts w:ascii="Century Schoolbook" w:hAnsi="Century Schoolbook"/>
          <w:i/>
          <w:color w:val="000000" w:themeColor="text1"/>
          <w:kern w:val="36"/>
        </w:rPr>
        <w:t>supra</w:t>
      </w:r>
      <w:r w:rsidRPr="00E53E52">
        <w:rPr>
          <w:rFonts w:ascii="Century Schoolbook" w:hAnsi="Century Schoolbook"/>
          <w:color w:val="000000" w:themeColor="text1"/>
          <w:kern w:val="36"/>
        </w:rPr>
        <w:t>.</w:t>
      </w:r>
    </w:p>
    <w:p w14:paraId="1C5898DC" w14:textId="4CC538AA" w:rsidR="004A04E7" w:rsidRPr="00E53E52" w:rsidRDefault="004A04E7" w:rsidP="001D1D6E">
      <w:pPr>
        <w:pStyle w:val="BodyText"/>
        <w:widowControl/>
        <w:spacing w:after="120"/>
        <w:ind w:firstLine="720"/>
        <w:rPr>
          <w:rFonts w:ascii="Century Schoolbook" w:hAnsi="Century Schoolbook" w:cs="Arial"/>
        </w:rPr>
      </w:pPr>
      <w:r w:rsidRPr="00E53E52">
        <w:rPr>
          <w:rFonts w:ascii="Century Schoolbook" w:hAnsi="Century Schoolbook" w:cs="Arial"/>
        </w:rPr>
        <w:lastRenderedPageBreak/>
        <w:t xml:space="preserve">As part of the deliberations that led to DAPA, the </w:t>
      </w:r>
      <w:r w:rsidR="00837108" w:rsidRPr="00E53E52">
        <w:rPr>
          <w:rFonts w:ascii="Century Schoolbook" w:hAnsi="Century Schoolbook" w:cs="Arial"/>
        </w:rPr>
        <w:t>A</w:t>
      </w:r>
      <w:r w:rsidRPr="00E53E52">
        <w:rPr>
          <w:rFonts w:ascii="Century Schoolbook" w:hAnsi="Century Schoolbook" w:cs="Arial"/>
        </w:rPr>
        <w:t>dministration considered deferred action for parents of noncitizens granted deferred action through DACA.</w:t>
      </w:r>
      <w:r w:rsidR="00810FDA" w:rsidRPr="00E53E52">
        <w:rPr>
          <w:rFonts w:ascii="Century Schoolbook" w:hAnsi="Century Schoolbook" w:cs="Arial"/>
        </w:rPr>
        <w:t xml:space="preserve"> </w:t>
      </w:r>
      <w:r w:rsidRPr="00E53E52">
        <w:rPr>
          <w:rFonts w:ascii="Century Schoolbook" w:hAnsi="Century Schoolbook" w:cs="Arial"/>
        </w:rPr>
        <w:t xml:space="preserve">On November 19, 2014, the Department of Justice Office of Legal Counsel issued an opinion explaining that a DACA-like deferred action program for parents of U.S. citizens and lawful permanent residents would be legally permissible, but that it would not be permissible for any such program to include parents of DACA recipients. OLC found that the former proposed program (which became DAPA) was permissible largely because it would be </w:t>
      </w:r>
      <w:r w:rsidR="00C909C4" w:rsidRPr="00E53E52">
        <w:rPr>
          <w:rFonts w:ascii="Century Schoolbook" w:hAnsi="Century Schoolbook" w:cs="Arial"/>
        </w:rPr>
        <w:t>“</w:t>
      </w:r>
      <w:r w:rsidRPr="00E53E52">
        <w:rPr>
          <w:rFonts w:ascii="Century Schoolbook" w:hAnsi="Century Schoolbook" w:cs="Arial"/>
        </w:rPr>
        <w:t>consonant with congressional policy embodied in the INA.</w:t>
      </w:r>
      <w:r w:rsidR="00C909C4" w:rsidRPr="00E53E52">
        <w:rPr>
          <w:rFonts w:ascii="Century Schoolbook" w:hAnsi="Century Schoolbook" w:cs="Arial"/>
        </w:rPr>
        <w:t>”</w:t>
      </w:r>
      <w:r w:rsidRPr="00E53E52">
        <w:rPr>
          <w:rFonts w:ascii="Century Schoolbook" w:hAnsi="Century Schoolbook" w:cs="Arial"/>
        </w:rPr>
        <w:t xml:space="preserve"> The opinion noted the numerous provisions of the statute that tend to favor family members of U.S. citizens and, to a lesser extent, of lawful permanent residents, but the latter program could not claim the same consonance.</w:t>
      </w:r>
      <w:r w:rsidR="00810FDA" w:rsidRPr="00E53E52">
        <w:rPr>
          <w:rFonts w:ascii="Century Schoolbook" w:hAnsi="Century Schoolbook" w:cs="Arial"/>
        </w:rPr>
        <w:t xml:space="preserve"> </w:t>
      </w:r>
      <w:r w:rsidRPr="00E53E52">
        <w:rPr>
          <w:rFonts w:ascii="Century Schoolbook" w:hAnsi="Century Schoolbook" w:cs="Arial"/>
          <w:i/>
        </w:rPr>
        <w:t>See</w:t>
      </w:r>
      <w:r w:rsidRPr="00E53E52">
        <w:rPr>
          <w:rFonts w:ascii="Century Schoolbook" w:hAnsi="Century Schoolbook" w:cs="Arial"/>
        </w:rPr>
        <w:t xml:space="preserve"> Memorandum Opinion from Karl R. Thompson, Principal Deputy Assistant Att</w:t>
      </w:r>
      <w:r w:rsidR="00C909C4" w:rsidRPr="00E53E52">
        <w:rPr>
          <w:rFonts w:ascii="Century Schoolbook" w:hAnsi="Century Schoolbook" w:cs="Arial"/>
        </w:rPr>
        <w:t>’</w:t>
      </w:r>
      <w:r w:rsidRPr="00E53E52">
        <w:rPr>
          <w:rFonts w:ascii="Century Schoolbook" w:hAnsi="Century Schoolbook" w:cs="Arial"/>
        </w:rPr>
        <w:t>y Gen., Office of Legal Counsel, to the Sec</w:t>
      </w:r>
      <w:r w:rsidR="00C909C4" w:rsidRPr="00E53E52">
        <w:rPr>
          <w:rFonts w:ascii="Century Schoolbook" w:hAnsi="Century Schoolbook" w:cs="Arial"/>
        </w:rPr>
        <w:t>’</w:t>
      </w:r>
      <w:r w:rsidRPr="00E53E52">
        <w:rPr>
          <w:rFonts w:ascii="Century Schoolbook" w:hAnsi="Century Schoolbook" w:cs="Arial"/>
        </w:rPr>
        <w:t xml:space="preserve">y of Homeland Sec. and the Counsel to the President 31-33 (Nov. 19, 2014), </w:t>
      </w:r>
      <w:r w:rsidRPr="00E53E52">
        <w:rPr>
          <w:rFonts w:ascii="Century Schoolbook" w:hAnsi="Century Schoolbook" w:cs="Arial"/>
          <w:i/>
        </w:rPr>
        <w:t>available at</w:t>
      </w:r>
      <w:r w:rsidRPr="00E53E52">
        <w:rPr>
          <w:rFonts w:ascii="Century Schoolbook" w:hAnsi="Century Schoolbook" w:cs="Arial"/>
        </w:rPr>
        <w:t xml:space="preserve"> </w:t>
      </w:r>
      <w:hyperlink r:id="rId63" w:history="1">
        <w:r w:rsidRPr="00E53E52">
          <w:rPr>
            <w:rFonts w:ascii="Century Schoolbook" w:hAnsi="Century Schoolbook" w:cs="Arial"/>
          </w:rPr>
          <w:t>http://www.justice.gov/sites/default/</w:t>
        </w:r>
      </w:hyperlink>
      <w:r w:rsidRPr="00E53E52">
        <w:rPr>
          <w:rFonts w:ascii="Century Schoolbook" w:hAnsi="Century Schoolbook" w:cs="Arial"/>
        </w:rPr>
        <w:t xml:space="preserve"> files/olc/opinions/attachments/2014/11/20/2014-11-19-auth-prioritize-removal.pdf.</w:t>
      </w:r>
      <w:r w:rsidR="00810FDA" w:rsidRPr="00E53E52">
        <w:rPr>
          <w:rFonts w:ascii="Century Schoolbook" w:hAnsi="Century Schoolbook" w:cs="Arial"/>
        </w:rPr>
        <w:t xml:space="preserve"> </w:t>
      </w:r>
      <w:r w:rsidRPr="00E53E52">
        <w:rPr>
          <w:rFonts w:ascii="Century Schoolbook" w:hAnsi="Century Schoolbook" w:cs="Arial"/>
        </w:rPr>
        <w:t>The government took the unusual step of releasing the OLC opinion at the time it announced its package of executive actions on November 20, 2014, in which DAPA was limited to certain parents of U.S. citizens and lawful permanent residents.</w:t>
      </w:r>
    </w:p>
    <w:p w14:paraId="0DECF3F6" w14:textId="1ABA8840" w:rsidR="004A04E7" w:rsidRPr="00E53E52" w:rsidRDefault="004A04E7" w:rsidP="001D1D6E">
      <w:pPr>
        <w:pStyle w:val="BodyText"/>
        <w:widowControl/>
        <w:spacing w:after="120"/>
        <w:ind w:firstLine="720"/>
        <w:rPr>
          <w:rFonts w:ascii="Century Schoolbook" w:hAnsi="Century Schoolbook" w:cs="Arial"/>
        </w:rPr>
      </w:pPr>
      <w:r w:rsidRPr="00E53E52">
        <w:rPr>
          <w:rFonts w:ascii="Century Schoolbook" w:hAnsi="Century Schoolbook" w:cs="Arial"/>
        </w:rPr>
        <w:t>Almost immediately after the first DACA announcement in June 2012, various opponents of the program filed lawsuits intended to challenge the President</w:t>
      </w:r>
      <w:r w:rsidR="00C909C4" w:rsidRPr="00E53E52">
        <w:rPr>
          <w:rFonts w:ascii="Century Schoolbook" w:hAnsi="Century Schoolbook" w:cs="Arial"/>
        </w:rPr>
        <w:t>’</w:t>
      </w:r>
      <w:r w:rsidRPr="00E53E52">
        <w:rPr>
          <w:rFonts w:ascii="Century Schoolbook" w:hAnsi="Century Schoolbook" w:cs="Arial"/>
        </w:rPr>
        <w:t xml:space="preserve">s authority to adopt and implement it. And after President Obama announced the expansion of DACA and the new DAPA program, opponents filed additional lawsuits, again arguing that the President had exceeded his authority under the U.S. Constitution and federal statutes. Of these lawsuits, the one that found the most success has been </w:t>
      </w:r>
      <w:r w:rsidRPr="00E53E52">
        <w:rPr>
          <w:rFonts w:ascii="Century Schoolbook" w:hAnsi="Century Schoolbook" w:cs="Arial"/>
          <w:i/>
        </w:rPr>
        <w:t>Texas v. United States</w:t>
      </w:r>
      <w:r w:rsidRPr="00E53E52">
        <w:rPr>
          <w:rFonts w:ascii="Century Schoolbook" w:hAnsi="Century Schoolbook" w:cs="Arial"/>
        </w:rPr>
        <w:t>, No. CIV. B-14-254, 2015 WL 648579 (S.D. Tex. Feb. 16, 2015), filed by Texas and 25 other states in the federal district court for the Southern District of Texas.</w:t>
      </w:r>
      <w:r w:rsidR="00810FDA" w:rsidRPr="00E53E52">
        <w:rPr>
          <w:rFonts w:ascii="Century Schoolbook" w:hAnsi="Century Schoolbook" w:cs="Arial"/>
        </w:rPr>
        <w:t xml:space="preserve"> </w:t>
      </w:r>
    </w:p>
    <w:p w14:paraId="5657D525" w14:textId="052C11A3" w:rsidR="004A04E7" w:rsidRPr="00E53E52" w:rsidRDefault="004A04E7" w:rsidP="001D1D6E">
      <w:pPr>
        <w:pStyle w:val="BodyText"/>
        <w:widowControl/>
        <w:spacing w:after="120"/>
        <w:ind w:firstLine="720"/>
        <w:rPr>
          <w:rFonts w:ascii="Century Schoolbook" w:hAnsi="Century Schoolbook" w:cs="Arial"/>
        </w:rPr>
      </w:pPr>
      <w:r w:rsidRPr="00E53E52">
        <w:rPr>
          <w:rFonts w:ascii="Century Schoolbook" w:hAnsi="Century Schoolbook" w:cs="Arial"/>
        </w:rPr>
        <w:t xml:space="preserve">On February 16, 2015, federal district judge Andrew Hanen issued a preliminary injunction blocking the implementation of DAPA. </w:t>
      </w:r>
      <w:r w:rsidRPr="00E53E52">
        <w:rPr>
          <w:rFonts w:ascii="Century Schoolbook" w:hAnsi="Century Schoolbook" w:cs="Arial"/>
          <w:i/>
        </w:rPr>
        <w:t>See id.;</w:t>
      </w:r>
      <w:r w:rsidRPr="00E53E52">
        <w:rPr>
          <w:rFonts w:ascii="Century Schoolbook" w:hAnsi="Century Schoolbook" w:cs="Arial"/>
        </w:rPr>
        <w:t xml:space="preserve"> Michael D. Shear &amp; Julia Preston, </w:t>
      </w:r>
      <w:r w:rsidRPr="00E53E52">
        <w:rPr>
          <w:rFonts w:ascii="Century Schoolbook" w:hAnsi="Century Schoolbook" w:cs="Arial"/>
          <w:i/>
        </w:rPr>
        <w:t>Dealt Setback, Obama Puts Off Immigrant Plan</w:t>
      </w:r>
      <w:r w:rsidRPr="00E53E52">
        <w:rPr>
          <w:rFonts w:ascii="Century Schoolbook" w:hAnsi="Century Schoolbook" w:cs="Arial"/>
        </w:rPr>
        <w:t>, N.Y. Times, Feb. 17, 2015, at A1. He found first that the state of Texas had standing to sue the federal government based on the cost of issuing state driver</w:t>
      </w:r>
      <w:r w:rsidR="00C909C4" w:rsidRPr="00E53E52">
        <w:rPr>
          <w:rFonts w:ascii="Century Schoolbook" w:hAnsi="Century Schoolbook" w:cs="Arial"/>
        </w:rPr>
        <w:t>’</w:t>
      </w:r>
      <w:r w:rsidRPr="00E53E52">
        <w:rPr>
          <w:rFonts w:ascii="Century Schoolbook" w:hAnsi="Century Schoolbook" w:cs="Arial"/>
        </w:rPr>
        <w:t>s licenses to noncitizens who would become eligible for licenses if the federal government approved their DAPA applications.</w:t>
      </w:r>
      <w:r w:rsidR="00810FDA" w:rsidRPr="00E53E52">
        <w:rPr>
          <w:rFonts w:ascii="Century Schoolbook" w:hAnsi="Century Schoolbook" w:cs="Arial"/>
        </w:rPr>
        <w:t xml:space="preserve"> </w:t>
      </w:r>
      <w:r w:rsidRPr="00E53E52">
        <w:rPr>
          <w:rFonts w:ascii="Century Schoolbook" w:hAnsi="Century Schoolbook" w:cs="Arial"/>
        </w:rPr>
        <w:t>Judge Hanen then reached the merits of the plaintiffs</w:t>
      </w:r>
      <w:r w:rsidR="00C909C4" w:rsidRPr="00E53E52">
        <w:rPr>
          <w:rFonts w:ascii="Century Schoolbook" w:hAnsi="Century Schoolbook" w:cs="Arial"/>
        </w:rPr>
        <w:t>’</w:t>
      </w:r>
      <w:r w:rsidRPr="00E53E52">
        <w:rPr>
          <w:rFonts w:ascii="Century Schoolbook" w:hAnsi="Century Schoolbook" w:cs="Arial"/>
        </w:rPr>
        <w:t xml:space="preserve"> arguments. He seemed to concede, at least for the sake of further analysis, the federal executive branch may exercise prosecutorial discretion in immigration law enforcement. At the same time, he viewed the issue in the case as whether DAPA was within that executive authority to exercise prosecutorial discretion. On this issue, Judge Hanen</w:t>
      </w:r>
      <w:r w:rsidR="00C909C4" w:rsidRPr="00E53E52">
        <w:rPr>
          <w:rFonts w:ascii="Century Schoolbook" w:hAnsi="Century Schoolbook" w:cs="Arial"/>
        </w:rPr>
        <w:t>’</w:t>
      </w:r>
      <w:r w:rsidRPr="00E53E52">
        <w:rPr>
          <w:rFonts w:ascii="Century Schoolbook" w:hAnsi="Century Schoolbook" w:cs="Arial"/>
        </w:rPr>
        <w:t>s opinion reflects deep skepticism that the President has any authority to exercise prosecutorial discretion to grant anything more than a bare temporary reprieve from removal. This part of Hanen</w:t>
      </w:r>
      <w:r w:rsidR="00C909C4" w:rsidRPr="00E53E52">
        <w:rPr>
          <w:rFonts w:ascii="Century Schoolbook" w:hAnsi="Century Schoolbook" w:cs="Arial"/>
        </w:rPr>
        <w:t>’</w:t>
      </w:r>
      <w:r w:rsidRPr="00E53E52">
        <w:rPr>
          <w:rFonts w:ascii="Century Schoolbook" w:hAnsi="Century Schoolbook" w:cs="Arial"/>
        </w:rPr>
        <w:t>s opinion targeted the threshold eligibility that deferred action recipients gain to apply for work authorization.</w:t>
      </w:r>
    </w:p>
    <w:p w14:paraId="0298CFCD" w14:textId="43CF3AC9" w:rsidR="004A04E7" w:rsidRPr="00E53E52" w:rsidRDefault="004A04E7" w:rsidP="001D1D6E">
      <w:pPr>
        <w:pStyle w:val="BodyText"/>
        <w:widowControl/>
        <w:spacing w:after="120"/>
        <w:ind w:firstLine="720"/>
        <w:rPr>
          <w:rFonts w:ascii="Century Schoolbook" w:hAnsi="Century Schoolbook" w:cs="Arial"/>
        </w:rPr>
      </w:pPr>
      <w:r w:rsidRPr="00E53E52">
        <w:rPr>
          <w:rFonts w:ascii="Century Schoolbook" w:hAnsi="Century Schoolbook" w:cs="Arial"/>
        </w:rPr>
        <w:t>Despite the breadth of Judge Hanen</w:t>
      </w:r>
      <w:r w:rsidR="00C909C4" w:rsidRPr="00E53E52">
        <w:rPr>
          <w:rFonts w:ascii="Century Schoolbook" w:hAnsi="Century Schoolbook" w:cs="Arial"/>
        </w:rPr>
        <w:t>’</w:t>
      </w:r>
      <w:r w:rsidRPr="00E53E52">
        <w:rPr>
          <w:rFonts w:ascii="Century Schoolbook" w:hAnsi="Century Schoolbook" w:cs="Arial"/>
        </w:rPr>
        <w:t xml:space="preserve">s apparent skepticism of executive authority to grant any broad form of relief from removal, the ultimate basis of his preliminary injunction </w:t>
      </w:r>
      <w:r w:rsidRPr="00E53E52">
        <w:rPr>
          <w:rFonts w:ascii="Century Schoolbook" w:hAnsi="Century Schoolbook" w:cs="Arial"/>
        </w:rPr>
        <w:lastRenderedPageBreak/>
        <w:t>was much narrower.</w:t>
      </w:r>
      <w:r w:rsidR="00810FDA" w:rsidRPr="00E53E52">
        <w:rPr>
          <w:rFonts w:ascii="Century Schoolbook" w:hAnsi="Century Schoolbook" w:cs="Arial"/>
        </w:rPr>
        <w:t xml:space="preserve"> </w:t>
      </w:r>
      <w:r w:rsidRPr="00E53E52">
        <w:rPr>
          <w:rFonts w:ascii="Century Schoolbook" w:hAnsi="Century Schoolbook" w:cs="Arial"/>
        </w:rPr>
        <w:t>He held that DAPA was a change in law that required the Department of Homeland Security to follow the notice and comment procedures set out in the Administrative Procedure Act, which DHS had not followed.</w:t>
      </w:r>
      <w:r w:rsidR="00810FDA" w:rsidRPr="00E53E52">
        <w:rPr>
          <w:rFonts w:ascii="Century Schoolbook" w:hAnsi="Century Schoolbook" w:cs="Arial"/>
        </w:rPr>
        <w:t xml:space="preserve"> </w:t>
      </w:r>
      <w:r w:rsidRPr="00E53E52">
        <w:rPr>
          <w:rFonts w:ascii="Century Schoolbook" w:hAnsi="Century Schoolbook" w:cs="Arial"/>
        </w:rPr>
        <w:t>A key aspect of this conclusion was Judge Hanen</w:t>
      </w:r>
      <w:r w:rsidR="00C909C4" w:rsidRPr="00E53E52">
        <w:rPr>
          <w:rFonts w:ascii="Century Schoolbook" w:hAnsi="Century Schoolbook" w:cs="Arial"/>
        </w:rPr>
        <w:t>’</w:t>
      </w:r>
      <w:r w:rsidRPr="00E53E52">
        <w:rPr>
          <w:rFonts w:ascii="Century Schoolbook" w:hAnsi="Century Schoolbook" w:cs="Arial"/>
        </w:rPr>
        <w:t>s view that DAPA did not call for DHS to make discretionary decisions. Rejecting the federal government</w:t>
      </w:r>
      <w:r w:rsidR="00C909C4" w:rsidRPr="00E53E52">
        <w:rPr>
          <w:rFonts w:ascii="Century Schoolbook" w:hAnsi="Century Schoolbook" w:cs="Arial"/>
        </w:rPr>
        <w:t>’</w:t>
      </w:r>
      <w:r w:rsidRPr="00E53E52">
        <w:rPr>
          <w:rFonts w:ascii="Century Schoolbook" w:hAnsi="Century Schoolbook" w:cs="Arial"/>
        </w:rPr>
        <w:t>s argument that DHS would exercise meaningful discretion after an applicant met threshold eligibility requirements, Hanen found that DAPA would automatically grant a reprieve to any applicant who met the threshold eligibility criteria. This meant, in turn, that DAPA represented a legislative rule that could not be adopted without notice and comment procedures. Judge Hanen did not address the states</w:t>
      </w:r>
      <w:r w:rsidR="00C909C4" w:rsidRPr="00E53E52">
        <w:rPr>
          <w:rFonts w:ascii="Century Schoolbook" w:hAnsi="Century Schoolbook" w:cs="Arial"/>
        </w:rPr>
        <w:t>’</w:t>
      </w:r>
      <w:r w:rsidRPr="00E53E52">
        <w:rPr>
          <w:rFonts w:ascii="Century Schoolbook" w:hAnsi="Century Schoolbook" w:cs="Arial"/>
        </w:rPr>
        <w:t xml:space="preserve"> other claims—that the implementation of DAPA would violate the substance of the Administrative Procedure Act or be unconstitutional as a violation of separation of powers or of the constitutional provision requiring the President to </w:t>
      </w:r>
      <w:r w:rsidR="00C909C4" w:rsidRPr="00E53E52">
        <w:rPr>
          <w:rFonts w:ascii="Century Schoolbook" w:hAnsi="Century Schoolbook" w:cs="Arial"/>
        </w:rPr>
        <w:t>“</w:t>
      </w:r>
      <w:r w:rsidRPr="00E53E52">
        <w:rPr>
          <w:rFonts w:ascii="Century Schoolbook" w:hAnsi="Century Schoolbook" w:cs="Arial"/>
        </w:rPr>
        <w:t>take Care that the Laws be faithfully executed.</w:t>
      </w:r>
      <w:r w:rsidR="00C909C4" w:rsidRPr="00E53E52">
        <w:rPr>
          <w:rFonts w:ascii="Century Schoolbook" w:hAnsi="Century Schoolbook" w:cs="Arial"/>
        </w:rPr>
        <w:t>”</w:t>
      </w:r>
    </w:p>
    <w:p w14:paraId="081BACBF" w14:textId="57EB02BB" w:rsidR="004B3051" w:rsidRPr="00E53E52" w:rsidRDefault="004A04E7" w:rsidP="001D1D6E">
      <w:pPr>
        <w:pStyle w:val="BodyText"/>
        <w:widowControl/>
        <w:spacing w:after="120"/>
        <w:ind w:firstLine="720"/>
        <w:rPr>
          <w:rFonts w:ascii="Century Schoolbook" w:hAnsi="Century Schoolbook"/>
        </w:rPr>
      </w:pPr>
      <w:r w:rsidRPr="00E53E52">
        <w:rPr>
          <w:rFonts w:ascii="Century Schoolbook" w:hAnsi="Century Schoolbook" w:cs="Arial"/>
        </w:rPr>
        <w:t>The federal government appealed the preliminary injunction and moved for a stay of that injunction pending resolution of the merits of that appeal. A Fifth Circuit panel majority affirmed in an opinion that first upheld Judge Hanen</w:t>
      </w:r>
      <w:r w:rsidR="00C909C4" w:rsidRPr="00E53E52">
        <w:rPr>
          <w:rFonts w:ascii="Century Schoolbook" w:hAnsi="Century Schoolbook" w:cs="Arial"/>
        </w:rPr>
        <w:t>’</w:t>
      </w:r>
      <w:r w:rsidRPr="00E53E52">
        <w:rPr>
          <w:rFonts w:ascii="Century Schoolbook" w:hAnsi="Century Schoolbook" w:cs="Arial"/>
        </w:rPr>
        <w:t xml:space="preserve">s reasoning and conclusion on the standing issue. </w:t>
      </w:r>
      <w:r w:rsidRPr="00E53E52">
        <w:rPr>
          <w:rFonts w:ascii="Century Schoolbook" w:hAnsi="Century Schoolbook" w:cs="Arial"/>
          <w:i/>
        </w:rPr>
        <w:t>Texas v. United States</w:t>
      </w:r>
      <w:r w:rsidRPr="00E53E52">
        <w:rPr>
          <w:rFonts w:ascii="Century Schoolbook" w:hAnsi="Century Schoolbook" w:cs="Arial"/>
        </w:rPr>
        <w:t>, 787 F.3d 733, 747-54 (5th Cir. 2015). It then agreed that DAPA went beyond the nonenforcement at the core of prosecutorial discretion by conferring benefits beyond a temporary reprieve from deportation. Finally, the Fifth Circuit affirmed the basis of the district court</w:t>
      </w:r>
      <w:r w:rsidR="00C909C4" w:rsidRPr="00E53E52">
        <w:rPr>
          <w:rFonts w:ascii="Century Schoolbook" w:hAnsi="Century Schoolbook" w:cs="Arial"/>
        </w:rPr>
        <w:t>’</w:t>
      </w:r>
      <w:r w:rsidRPr="00E53E52">
        <w:rPr>
          <w:rFonts w:ascii="Century Schoolbook" w:hAnsi="Century Schoolbook" w:cs="Arial"/>
        </w:rPr>
        <w:t xml:space="preserve">s decision—that the APA notice-and-comment requirements applied to DAPA. Judge Higginson dissented on the grounds that DAPA reflected non-justiciable agency discretion, and that the APA notice-and-comment requirements do not apply to DAPA because the program is not a legislative rule. </w:t>
      </w:r>
      <w:r w:rsidR="00491374" w:rsidRPr="00E53E52">
        <w:rPr>
          <w:rFonts w:ascii="Century Schoolbook" w:hAnsi="Century Schoolbook" w:cs="Arial"/>
        </w:rPr>
        <w:t xml:space="preserve">In June 2016, </w:t>
      </w:r>
      <w:r w:rsidR="00626290" w:rsidRPr="00E53E52">
        <w:rPr>
          <w:rFonts w:ascii="Century Schoolbook" w:hAnsi="Century Schoolbook"/>
        </w:rPr>
        <w:t xml:space="preserve">the U.S. Supreme Court split 4 to 4 in </w:t>
      </w:r>
      <w:r w:rsidR="00626290" w:rsidRPr="00E53E52">
        <w:rPr>
          <w:rFonts w:ascii="Century Schoolbook" w:hAnsi="Century Schoolbook"/>
          <w:i/>
        </w:rPr>
        <w:t>United States v. Texas</w:t>
      </w:r>
      <w:r w:rsidR="00626290" w:rsidRPr="00E53E52">
        <w:rPr>
          <w:rFonts w:ascii="Century Schoolbook" w:hAnsi="Century Schoolbook"/>
        </w:rPr>
        <w:t xml:space="preserve">, 579 U.S. ___ (June 23, 2016), leaving an injunction against the DAPA and expanded DACA programs in place. </w:t>
      </w:r>
    </w:p>
    <w:p w14:paraId="5AF2944D" w14:textId="48BE0AF0" w:rsidR="00FE33B3" w:rsidRPr="00E53E52" w:rsidRDefault="00F81E32" w:rsidP="00FE33B3">
      <w:pPr>
        <w:autoSpaceDE w:val="0"/>
        <w:autoSpaceDN w:val="0"/>
        <w:adjustRightInd w:val="0"/>
        <w:spacing w:after="120"/>
        <w:ind w:firstLine="720"/>
        <w:jc w:val="both"/>
        <w:rPr>
          <w:rFonts w:ascii="Century Schoolbook" w:hAnsi="Century Schoolbook"/>
        </w:rPr>
      </w:pPr>
      <w:r w:rsidRPr="00E53E52">
        <w:rPr>
          <w:rFonts w:ascii="Century Schoolbook" w:hAnsi="Century Schoolbook" w:cs="Times New Roman"/>
        </w:rPr>
        <w:t xml:space="preserve">After the change in presidential administrations, </w:t>
      </w:r>
      <w:r w:rsidR="00FE33B3" w:rsidRPr="00E53E52">
        <w:rPr>
          <w:rFonts w:ascii="Century Schoolbook" w:hAnsi="Century Schoolbook" w:cs="Times New Roman"/>
        </w:rPr>
        <w:t xml:space="preserve">a </w:t>
      </w:r>
      <w:r w:rsidRPr="00E53E52">
        <w:rPr>
          <w:rFonts w:ascii="Century Schoolbook" w:hAnsi="Century Schoolbook" w:cs="Times New Roman"/>
        </w:rPr>
        <w:t xml:space="preserve">February 2017 </w:t>
      </w:r>
      <w:r w:rsidR="00FE33B3" w:rsidRPr="00E53E52">
        <w:rPr>
          <w:rFonts w:ascii="Century Schoolbook" w:hAnsi="Century Schoolbook" w:cs="Times New Roman"/>
        </w:rPr>
        <w:t xml:space="preserve">memorandum from DHS Secretary Kelly rescinded most of the prior administration’s priority-setting policies, but it explicitly preserved the DACA and DAPA programs. </w:t>
      </w:r>
      <w:r w:rsidR="00FE33B3" w:rsidRPr="00E53E52">
        <w:rPr>
          <w:rFonts w:ascii="Century Schoolbook" w:hAnsi="Century Schoolbook" w:cs="Times New Roman"/>
          <w:i/>
        </w:rPr>
        <w:t xml:space="preserve">See </w:t>
      </w:r>
      <w:r w:rsidR="00FE33B3" w:rsidRPr="00E53E52">
        <w:rPr>
          <w:rFonts w:ascii="Century Schoolbook" w:hAnsi="Century Schoolbook"/>
        </w:rPr>
        <w:t xml:space="preserve">Memorandum from John Kelly, Sec’y of Homeland Sec., on </w:t>
      </w:r>
      <w:r w:rsidR="00FE33B3" w:rsidRPr="00E53E52">
        <w:rPr>
          <w:rFonts w:ascii="Century Schoolbook" w:hAnsi="Century Schoolbook" w:cs="Times New Roman"/>
          <w:color w:val="292929"/>
        </w:rPr>
        <w:t xml:space="preserve">Enforcement of the Immigration Laws to </w:t>
      </w:r>
      <w:r w:rsidR="00FE33B3" w:rsidRPr="00E53E52">
        <w:rPr>
          <w:rFonts w:ascii="Century Schoolbook" w:hAnsi="Century Schoolbook" w:cs="Times New Roman"/>
          <w:color w:val="3D3D3D"/>
        </w:rPr>
        <w:t xml:space="preserve">Serve </w:t>
      </w:r>
      <w:r w:rsidR="00FE33B3" w:rsidRPr="00E53E52">
        <w:rPr>
          <w:rFonts w:ascii="Century Schoolbook" w:hAnsi="Century Schoolbook" w:cs="Times New Roman"/>
          <w:color w:val="292929"/>
        </w:rPr>
        <w:t>the National Interest</w:t>
      </w:r>
      <w:r w:rsidR="00FE33B3" w:rsidRPr="00E53E52">
        <w:rPr>
          <w:rFonts w:ascii="Century Schoolbook" w:hAnsi="Century Schoolbook"/>
        </w:rPr>
        <w:t xml:space="preserve"> (Feb. 20, 2017), in the statutory supplement. </w:t>
      </w:r>
    </w:p>
    <w:p w14:paraId="27303DFE" w14:textId="77777777" w:rsidR="00FE33B3" w:rsidRPr="00E53E52" w:rsidRDefault="00FE33B3" w:rsidP="00FE33B3">
      <w:pPr>
        <w:autoSpaceDE w:val="0"/>
        <w:autoSpaceDN w:val="0"/>
        <w:adjustRightInd w:val="0"/>
        <w:spacing w:after="120"/>
        <w:ind w:firstLine="720"/>
        <w:jc w:val="both"/>
        <w:rPr>
          <w:rFonts w:ascii="Century Schoolbook" w:hAnsi="Century Schoolbook" w:cs="Times New Roman"/>
        </w:rPr>
      </w:pPr>
      <w:r w:rsidRPr="00E53E52">
        <w:rPr>
          <w:rFonts w:ascii="Century Schoolbook" w:hAnsi="Century Schoolbook"/>
        </w:rPr>
        <w:t xml:space="preserve">On June 15, 2017, DHS rescinded the November 20, 2014 DAPA memo. </w:t>
      </w:r>
      <w:r w:rsidRPr="00E53E52">
        <w:rPr>
          <w:rFonts w:ascii="Century Schoolbook" w:hAnsi="Century Schoolbook"/>
          <w:i/>
        </w:rPr>
        <w:t xml:space="preserve">See </w:t>
      </w:r>
      <w:r w:rsidRPr="00E53E52">
        <w:rPr>
          <w:rFonts w:ascii="Century Schoolbook" w:hAnsi="Century Schoolbook"/>
        </w:rPr>
        <w:t>Memorandum from John Kelly, Sec’y of Homeland Sec., on Rescission of November 20, 2014 Memorandum Providing for Deferred Action for Parents of Americans and Lawful Permanent Residents, in the statutory supplement.</w:t>
      </w:r>
    </w:p>
    <w:p w14:paraId="00C701F5" w14:textId="77777777" w:rsidR="00FE33B3" w:rsidRPr="00E53E52" w:rsidRDefault="00FE33B3" w:rsidP="00FE33B3">
      <w:pPr>
        <w:autoSpaceDE w:val="0"/>
        <w:autoSpaceDN w:val="0"/>
        <w:adjustRightInd w:val="0"/>
        <w:spacing w:after="120"/>
        <w:ind w:firstLine="720"/>
        <w:jc w:val="both"/>
        <w:rPr>
          <w:rFonts w:ascii="Century Schoolbook" w:hAnsi="Century Schoolbook" w:cs="Times New Roman"/>
        </w:rPr>
      </w:pPr>
      <w:r w:rsidRPr="00E53E52">
        <w:rPr>
          <w:rFonts w:ascii="Century Schoolbook" w:hAnsi="Century Schoolbook" w:cs="Times New Roman"/>
        </w:rPr>
        <w:t xml:space="preserve">Then, in September 2017, the administration rescinded the 2012 memo establishing DACA. </w:t>
      </w:r>
      <w:r w:rsidRPr="00E53E52">
        <w:rPr>
          <w:rFonts w:ascii="Century Schoolbook" w:hAnsi="Century Schoolbook" w:cs="Times New Roman"/>
          <w:i/>
        </w:rPr>
        <w:t>See</w:t>
      </w:r>
      <w:r w:rsidRPr="00E53E52">
        <w:rPr>
          <w:rFonts w:ascii="Century Schoolbook" w:hAnsi="Century Schoolbook" w:cs="Times New Roman"/>
        </w:rPr>
        <w:t xml:space="preserve"> </w:t>
      </w:r>
      <w:r w:rsidRPr="00E53E52">
        <w:rPr>
          <w:rFonts w:ascii="Century Schoolbook" w:hAnsi="Century Schoolbook"/>
        </w:rPr>
        <w:t xml:space="preserve">Memorandum from Elaine Duke, Acting Sec’y of Homeland Sec., on </w:t>
      </w:r>
      <w:r w:rsidRPr="00E53E52">
        <w:rPr>
          <w:rFonts w:ascii="Century Schoolbook" w:hAnsi="Century Schoolbook" w:cs="Times New Roman"/>
        </w:rPr>
        <w:t xml:space="preserve">Rescission of the June 15, 2012 Memorandum Entitled “Exercising Prosecutorial Discretion with Respect to Individuals Who Came to the United States as Children,” in the statutory supplement. The announced rescission called for a one-month phase-out period until October 5, 2017, during which DACA recipients with grants set to expire by March 5, 2018, could apply for renewals. DACA recipients with grants set to expire after March 5, 2018, could not apply for </w:t>
      </w:r>
      <w:r w:rsidRPr="00E53E52">
        <w:rPr>
          <w:rFonts w:ascii="Century Schoolbook" w:hAnsi="Century Schoolbook" w:cs="Times New Roman"/>
        </w:rPr>
        <w:lastRenderedPageBreak/>
        <w:t xml:space="preserve">renewals. Moreover, DHS would not accept applications from anyone who had never received a grant of deferred action under DACA. The planned result was to have DACA recipients start to lose DACA status starting March 6, 2018. </w:t>
      </w:r>
    </w:p>
    <w:p w14:paraId="0AA29047" w14:textId="778CCEAD" w:rsidR="00FE33B3" w:rsidRPr="00E53E52" w:rsidRDefault="00FE33B3" w:rsidP="00FE33B3">
      <w:pPr>
        <w:autoSpaceDE w:val="0"/>
        <w:autoSpaceDN w:val="0"/>
        <w:adjustRightInd w:val="0"/>
        <w:spacing w:after="120"/>
        <w:ind w:firstLine="720"/>
        <w:jc w:val="both"/>
        <w:rPr>
          <w:rFonts w:ascii="Century Schoolbook" w:hAnsi="Century Schoolbook" w:cs="Times New Roman"/>
        </w:rPr>
      </w:pPr>
      <w:r w:rsidRPr="00E53E52">
        <w:rPr>
          <w:rFonts w:ascii="Century Schoolbook" w:hAnsi="Century Schoolbook" w:cs="Times New Roman"/>
        </w:rPr>
        <w:t xml:space="preserve">Nine separate lawsuits to block the rescission soon followed in four different federal district courts, raising a variety of claims. The result so far has been multiple nationwide injunctions blocking rescission as to DACA recipients who sought to renew their DACA grants, but allowing DHS to decline applications from anyone who had never received DACA. </w:t>
      </w:r>
    </w:p>
    <w:p w14:paraId="40CB756D" w14:textId="03D6B140" w:rsidR="00750E27" w:rsidRPr="00E53E52" w:rsidRDefault="00750E27" w:rsidP="00750E27">
      <w:pPr>
        <w:pStyle w:val="BodyText"/>
        <w:widowControl/>
        <w:spacing w:after="120"/>
        <w:ind w:firstLine="720"/>
        <w:rPr>
          <w:rFonts w:ascii="Century Schoolbook" w:hAnsi="Century Schoolbook" w:cs="Times New Roman"/>
        </w:rPr>
      </w:pPr>
      <w:r w:rsidRPr="00E53E52">
        <w:rPr>
          <w:rFonts w:ascii="Century Schoolbook" w:hAnsi="Century Schoolbook" w:cs="Times New Roman"/>
        </w:rPr>
        <w:t xml:space="preserve">Of the courts that have heard challenges to DACA’s rescission, only the federal district court in </w:t>
      </w:r>
      <w:r w:rsidRPr="00E53E52">
        <w:rPr>
          <w:rFonts w:ascii="Century Schoolbook" w:hAnsi="Century Schoolbook" w:cs="Times New Roman"/>
          <w:i/>
        </w:rPr>
        <w:t>Casa De Maryland v. U.S. Dep’t of Homeland Security</w:t>
      </w:r>
      <w:r w:rsidRPr="00E53E52">
        <w:rPr>
          <w:rFonts w:ascii="Century Schoolbook" w:hAnsi="Century Schoolbook" w:cs="Times New Roman"/>
        </w:rPr>
        <w:t xml:space="preserve"> upheld the rescission. 284 F. Supp. 3d 758 (D. Md. 2018). On appeal, however, a divided panel of the Fourth Circuit Court of Appeals reversed that ruling, concluding instead that DHS’s rescission was “not adequately explained and thus was arbitrary and capricious” in violation of the Administrative Procedure Act. No. 18-1469, – F.3d -- (4th Cir. May 17, 2019). </w:t>
      </w:r>
    </w:p>
    <w:p w14:paraId="5864B921" w14:textId="708A471A" w:rsidR="00750E27" w:rsidRPr="00E53E52" w:rsidRDefault="00750E27" w:rsidP="00750E27">
      <w:pPr>
        <w:pStyle w:val="BodyText"/>
        <w:widowControl/>
        <w:spacing w:after="120"/>
        <w:ind w:firstLine="720"/>
        <w:rPr>
          <w:rFonts w:ascii="Century Schoolbook" w:hAnsi="Century Schoolbook" w:cs="Times New Roman"/>
        </w:rPr>
      </w:pPr>
      <w:r w:rsidRPr="00E53E52">
        <w:rPr>
          <w:rFonts w:ascii="Century Schoolbook" w:hAnsi="Century Schoolbook" w:cs="Times New Roman"/>
        </w:rPr>
        <w:t xml:space="preserve">Another important development in the DACA rescission litigation regards the Administration’s second attempt at explaining its decision to rescind DACA. In </w:t>
      </w:r>
      <w:r w:rsidRPr="00E53E52">
        <w:rPr>
          <w:rFonts w:ascii="Century Schoolbook" w:hAnsi="Century Schoolbook" w:cs="Times New Roman"/>
          <w:i/>
        </w:rPr>
        <w:t>NAACP v. Trump</w:t>
      </w:r>
      <w:r w:rsidRPr="00E53E52">
        <w:rPr>
          <w:rFonts w:ascii="Century Schoolbook" w:hAnsi="Century Schoolbook" w:cs="Times New Roman"/>
        </w:rPr>
        <w:t xml:space="preserve">, the D.C. district court initially delayed its decision by 90 days to allow the government to better explain its decision. In response, on June 22, 2018, the federal government filed a memorandum by then-DHS Secretary Kirstjen Nielsen with the court. </w:t>
      </w:r>
      <w:hyperlink r:id="rId64" w:history="1">
        <w:r w:rsidRPr="00E53E52">
          <w:rPr>
            <w:rFonts w:ascii="Century Schoolbook" w:hAnsi="Century Schoolbook" w:cs="Times New Roman"/>
          </w:rPr>
          <w:t>Memorandum</w:t>
        </w:r>
      </w:hyperlink>
      <w:r w:rsidRPr="00E53E52">
        <w:rPr>
          <w:rFonts w:ascii="Century Schoolbook" w:hAnsi="Century Schoolbook" w:cs="Times New Roman"/>
        </w:rPr>
        <w:t xml:space="preserve"> from Secretary Kirstjen M. Nielsen, June 22, 2018. </w:t>
      </w:r>
    </w:p>
    <w:p w14:paraId="2B1EFB5C" w14:textId="77777777" w:rsidR="00750E27" w:rsidRPr="00E53E52" w:rsidRDefault="00750E27" w:rsidP="00750E27">
      <w:pPr>
        <w:pStyle w:val="BodyText"/>
        <w:widowControl/>
        <w:spacing w:after="120"/>
        <w:ind w:firstLine="720"/>
        <w:rPr>
          <w:rFonts w:ascii="Century Schoolbook" w:hAnsi="Century Schoolbook" w:cs="Times New Roman"/>
        </w:rPr>
      </w:pPr>
      <w:r w:rsidRPr="00E53E52">
        <w:rPr>
          <w:rFonts w:ascii="Century Schoolbook" w:hAnsi="Century Schoolbook" w:cs="Times New Roman"/>
        </w:rPr>
        <w:t>Like the prior memo from Acting Secretary Duke and the DOJ’s arguments in litigation until that point, the Nielsen Memo repeated the claim that DACA was unlawful. However, it also added a rationale that the Trump Administration had, prior till then, resisted articulating. The Nielsen Memo argued that regardless of legality, DHS was rescinding DACA because it should “not adopt public policies of non-enforcement of [Congress’] laws for broad classes and categories of aliens” and that “DHS should only exercise its prosecutorial discretion not to enforce the immigration laws on a truly individualized, case-by-case basis.” The Nielsen Memo, at least in part, presented DACA rescission as a discretionary enforcement decision made by the agency imbued with the authority to make such policy choices.</w:t>
      </w:r>
    </w:p>
    <w:p w14:paraId="6B445B68" w14:textId="3DD935E8" w:rsidR="00750E27" w:rsidRPr="00E53E52" w:rsidRDefault="00750E27" w:rsidP="00750E27">
      <w:pPr>
        <w:autoSpaceDE w:val="0"/>
        <w:autoSpaceDN w:val="0"/>
        <w:adjustRightInd w:val="0"/>
        <w:spacing w:after="120"/>
        <w:ind w:firstLine="720"/>
        <w:jc w:val="both"/>
        <w:rPr>
          <w:rFonts w:ascii="Century Schoolbook" w:hAnsi="Century Schoolbook" w:cs="Times New Roman"/>
        </w:rPr>
      </w:pPr>
      <w:r w:rsidRPr="00E53E52">
        <w:rPr>
          <w:rFonts w:ascii="Century Schoolbook" w:hAnsi="Century Schoolbook" w:cs="Times New Roman"/>
        </w:rPr>
        <w:t xml:space="preserve">It remains to be seen how Nielsen’s inclusion of a policy rationale for rescinding DACA influences judicial analysis, especially at the Supreme Court (see below). Is the articulation of a different enforcement preference sufficient to cure the legal defect in the rescission identified by several courts? If DACA is just a systematized exercise of prosecutorial discretion, is disagreeing with that discretion sufficient to lawfully rescind the program? </w:t>
      </w:r>
    </w:p>
    <w:p w14:paraId="3873A283" w14:textId="0BDFA63E" w:rsidR="00750E27" w:rsidRPr="00E53E52" w:rsidRDefault="00750E27" w:rsidP="00750E27">
      <w:pPr>
        <w:autoSpaceDE w:val="0"/>
        <w:autoSpaceDN w:val="0"/>
        <w:adjustRightInd w:val="0"/>
        <w:spacing w:after="120"/>
        <w:ind w:firstLine="720"/>
        <w:jc w:val="both"/>
        <w:rPr>
          <w:rFonts w:ascii="Century Schoolbook" w:hAnsi="Century Schoolbook" w:cs="Times New Roman"/>
        </w:rPr>
      </w:pPr>
      <w:r w:rsidRPr="00E53E52">
        <w:rPr>
          <w:rFonts w:ascii="Century Schoolbook" w:hAnsi="Century Schoolbook" w:cs="Times New Roman"/>
        </w:rPr>
        <w:t xml:space="preserve">In the midst of these challenges to DACA’s rescission, on May 1, 2018, a group of states led by the state of Texas sued the federal government arguing that DACA was unlawful and sought an injunction against the program. </w:t>
      </w:r>
      <w:r w:rsidRPr="00E53E52">
        <w:rPr>
          <w:rFonts w:ascii="Century Schoolbook" w:hAnsi="Century Schoolbook" w:cs="Times New Roman"/>
          <w:i/>
        </w:rPr>
        <w:t>Texas v. United States</w:t>
      </w:r>
      <w:r w:rsidRPr="00E53E52">
        <w:rPr>
          <w:rFonts w:ascii="Century Schoolbook" w:hAnsi="Century Schoolbook" w:cs="Times New Roman"/>
        </w:rPr>
        <w:t xml:space="preserve">, 328 F. Supp. 3d 662 (S.D. Tex. 2018). The case was filed in the same federal district, and assigned to the same Judge Hanen who blocked implementation of the DAPA program in 2015. Judge Hanen concluded that the plaintiffs were likely to succeed on their claims that DHS had no statutory </w:t>
      </w:r>
      <w:r w:rsidRPr="00E53E52">
        <w:rPr>
          <w:rFonts w:ascii="Century Schoolbook" w:hAnsi="Century Schoolbook" w:cs="Times New Roman"/>
        </w:rPr>
        <w:lastRenderedPageBreak/>
        <w:t xml:space="preserve">authority to implement DACA, that DACA contradicted the INA, and that creating DACA required notice and comment rulemaking. Despite this conclusion, however, Hanen denied the states’ request for a preliminary injunction because he found that plaintiffs’ delay in filing suit prevented them from satisfying their burden of showing irreparable harm; in addition, the district court concluded that the plaintiffs could not meet the preliminary injunction factors of showing hardship and the balance of public interest. </w:t>
      </w:r>
      <w:r w:rsidRPr="00E53E52">
        <w:rPr>
          <w:rFonts w:ascii="Century Schoolbook" w:hAnsi="Century Schoolbook" w:cs="Times New Roman"/>
          <w:i/>
        </w:rPr>
        <w:t>Id</w:t>
      </w:r>
      <w:r w:rsidRPr="00E53E52">
        <w:rPr>
          <w:rFonts w:ascii="Century Schoolbook" w:hAnsi="Century Schoolbook" w:cs="Times New Roman"/>
        </w:rPr>
        <w:t>. at 736-42.</w:t>
      </w:r>
    </w:p>
    <w:p w14:paraId="472E4DA3" w14:textId="33200B22" w:rsidR="00750E27" w:rsidRPr="00E53E52" w:rsidRDefault="00750E27" w:rsidP="00750E27">
      <w:pPr>
        <w:autoSpaceDE w:val="0"/>
        <w:autoSpaceDN w:val="0"/>
        <w:adjustRightInd w:val="0"/>
        <w:spacing w:after="120"/>
        <w:ind w:firstLine="720"/>
        <w:jc w:val="both"/>
        <w:rPr>
          <w:rFonts w:ascii="Century Schoolbook" w:hAnsi="Century Schoolbook" w:cs="Times New Roman"/>
        </w:rPr>
      </w:pPr>
      <w:r w:rsidRPr="00E53E52">
        <w:rPr>
          <w:rFonts w:ascii="Century Schoolbook" w:hAnsi="Century Schoolbook" w:cs="Times New Roman"/>
        </w:rPr>
        <w:t xml:space="preserve">After several failed attempts to convince the Supreme Court to hear an appeal of any of the DACA rescission cases over the past two years, the federal government recently succeeded. On June 28, 2019, the Supreme Court granted </w:t>
      </w:r>
      <w:r w:rsidRPr="00E53E52">
        <w:rPr>
          <w:rFonts w:ascii="Century Schoolbook" w:hAnsi="Century Schoolbook" w:cs="Times New Roman"/>
          <w:i/>
        </w:rPr>
        <w:t>certiorari</w:t>
      </w:r>
      <w:r w:rsidRPr="00E53E52">
        <w:rPr>
          <w:rFonts w:ascii="Century Schoolbook" w:hAnsi="Century Schoolbook" w:cs="Times New Roman"/>
        </w:rPr>
        <w:t xml:space="preserve">, consolidating the </w:t>
      </w:r>
      <w:r w:rsidRPr="00E53E52">
        <w:rPr>
          <w:rFonts w:ascii="Century Schoolbook" w:hAnsi="Century Schoolbook" w:cs="Times New Roman"/>
          <w:i/>
        </w:rPr>
        <w:t>Regents of Univ. of Cal., Batalla Vidal</w:t>
      </w:r>
      <w:r w:rsidRPr="00E53E52">
        <w:rPr>
          <w:rFonts w:ascii="Century Schoolbook" w:hAnsi="Century Schoolbook" w:cs="Times New Roman"/>
        </w:rPr>
        <w:t xml:space="preserve">, and </w:t>
      </w:r>
      <w:r w:rsidRPr="00E53E52">
        <w:rPr>
          <w:rFonts w:ascii="Century Schoolbook" w:hAnsi="Century Schoolbook" w:cs="Times New Roman"/>
          <w:i/>
        </w:rPr>
        <w:t xml:space="preserve">NAACP </w:t>
      </w:r>
      <w:r w:rsidRPr="00E53E52">
        <w:rPr>
          <w:rFonts w:ascii="Century Schoolbook" w:hAnsi="Century Schoolbook" w:cs="Times New Roman"/>
        </w:rPr>
        <w:t>cases. The Court set oral argument in the case for November 12, 2019, with a decision expected no later than June 2020. In addition to its consequences for the nearly 800,000 DACA recipients and their families, the decision and its timing will add intrigue to the 2020 presidential campaign.</w:t>
      </w:r>
    </w:p>
    <w:p w14:paraId="56653C15" w14:textId="77777777" w:rsidR="00750E27" w:rsidRPr="00E53E52" w:rsidRDefault="00750E27" w:rsidP="00750E27">
      <w:pPr>
        <w:autoSpaceDE w:val="0"/>
        <w:autoSpaceDN w:val="0"/>
        <w:adjustRightInd w:val="0"/>
        <w:spacing w:after="120"/>
        <w:ind w:firstLine="720"/>
        <w:jc w:val="both"/>
        <w:rPr>
          <w:rFonts w:ascii="Century Schoolbook" w:hAnsi="Century Schoolbook" w:cs="Times New Roman"/>
        </w:rPr>
      </w:pPr>
      <w:r w:rsidRPr="00E53E52">
        <w:rPr>
          <w:rFonts w:ascii="Century Schoolbook" w:hAnsi="Century Schoolbook" w:cs="Times New Roman"/>
        </w:rPr>
        <w:t xml:space="preserve">Pending the Supreme Court’s resolution of DACA’s fate, the orders from three federal district courts (in California and New York, plus the District of Columbia) continue to have nationwide effect and require USCIS to continue processing DACA renewals. </w:t>
      </w:r>
    </w:p>
    <w:p w14:paraId="311277A4" w14:textId="32797E20" w:rsidR="004A04E7" w:rsidRPr="00E53E52" w:rsidRDefault="00D87760" w:rsidP="00FE33B3">
      <w:pPr>
        <w:spacing w:after="120"/>
        <w:jc w:val="center"/>
        <w:rPr>
          <w:rStyle w:val="Hyperlink"/>
          <w:rFonts w:eastAsiaTheme="minorHAnsi"/>
          <w:sz w:val="22"/>
          <w:szCs w:val="22"/>
        </w:rPr>
      </w:pPr>
      <w:r w:rsidRPr="00E53E52">
        <w:rPr>
          <w:rFonts w:ascii="Century Schoolbook" w:hAnsi="Century Schoolbook"/>
          <w:b/>
        </w:rPr>
        <w:t>—————</w:t>
      </w:r>
      <w:r w:rsidR="004A04E7" w:rsidRPr="00E53E52">
        <w:rPr>
          <w:rFonts w:ascii="Century Schoolbook" w:hAnsi="Century Schoolbook"/>
          <w:b/>
        </w:rPr>
        <w:t xml:space="preserve">————— </w:t>
      </w:r>
    </w:p>
    <w:p w14:paraId="2C849337" w14:textId="77777777" w:rsidR="009B6DC3" w:rsidRPr="00E53E52" w:rsidRDefault="009B6DC3" w:rsidP="001D1D6E">
      <w:pPr>
        <w:spacing w:after="120"/>
        <w:rPr>
          <w:rFonts w:ascii="Century Schoolbook" w:hAnsi="Century Schoolbook" w:cs="Times New Roman"/>
        </w:rPr>
      </w:pPr>
      <w:r w:rsidRPr="00E53E52">
        <w:rPr>
          <w:rFonts w:ascii="Century Schoolbook" w:hAnsi="Century Schoolbook" w:cs="Times New Roman"/>
          <w:b/>
        </w:rPr>
        <w:t>p. 1009, at end of current Notes, add new Note 10:</w:t>
      </w:r>
    </w:p>
    <w:p w14:paraId="75106724" w14:textId="4EC95BA0" w:rsidR="0038732C" w:rsidRPr="00E53E52" w:rsidRDefault="009B6DC3" w:rsidP="001D1D6E">
      <w:pPr>
        <w:pStyle w:val="BodyText"/>
        <w:widowControl/>
        <w:spacing w:after="120"/>
        <w:ind w:firstLine="720"/>
        <w:rPr>
          <w:rFonts w:ascii="Century Schoolbook" w:hAnsi="Century Schoolbook"/>
        </w:rPr>
      </w:pPr>
      <w:r w:rsidRPr="00E53E52">
        <w:rPr>
          <w:rFonts w:ascii="Century Schoolbook" w:hAnsi="Century Schoolbook"/>
        </w:rPr>
        <w:t>10.</w:t>
      </w:r>
      <w:r w:rsidR="00810FDA" w:rsidRPr="00E53E52">
        <w:rPr>
          <w:rFonts w:ascii="Century Schoolbook" w:hAnsi="Century Schoolbook"/>
        </w:rPr>
        <w:t xml:space="preserve"> </w:t>
      </w:r>
      <w:r w:rsidRPr="00E53E52">
        <w:rPr>
          <w:rFonts w:ascii="Century Schoolbook" w:hAnsi="Century Schoolbook"/>
        </w:rPr>
        <w:t xml:space="preserve">In November 2014 the European Court of Human Rights applied the reasoning developed in </w:t>
      </w:r>
      <w:r w:rsidRPr="00E53E52">
        <w:rPr>
          <w:rFonts w:ascii="Century Schoolbook" w:hAnsi="Century Schoolbook"/>
          <w:i/>
        </w:rPr>
        <w:t>M.S.S.</w:t>
      </w:r>
      <w:r w:rsidRPr="00E53E52">
        <w:rPr>
          <w:rFonts w:ascii="Century Schoolbook" w:hAnsi="Century Schoolbook"/>
        </w:rPr>
        <w:t xml:space="preserve"> to prohibit Switzerland from returning </w:t>
      </w:r>
      <w:r w:rsidR="008C6B37" w:rsidRPr="00E53E52">
        <w:rPr>
          <w:rFonts w:ascii="Century Schoolbook" w:hAnsi="Century Schoolbook"/>
        </w:rPr>
        <w:t xml:space="preserve">a family of </w:t>
      </w:r>
      <w:r w:rsidRPr="00E53E52">
        <w:rPr>
          <w:rFonts w:ascii="Century Schoolbook" w:hAnsi="Century Schoolbook"/>
        </w:rPr>
        <w:t>Afghan asylum seekers to Italy.</w:t>
      </w:r>
      <w:r w:rsidR="00810FDA" w:rsidRPr="00E53E52">
        <w:rPr>
          <w:rFonts w:ascii="Century Schoolbook" w:hAnsi="Century Schoolbook"/>
        </w:rPr>
        <w:t xml:space="preserve"> </w:t>
      </w:r>
      <w:r w:rsidRPr="00E53E52">
        <w:rPr>
          <w:rFonts w:ascii="Century Schoolbook" w:hAnsi="Century Schoolbook"/>
          <w:i/>
        </w:rPr>
        <w:t>Tarakhel v. Switzerland</w:t>
      </w:r>
      <w:r w:rsidRPr="00E53E52">
        <w:rPr>
          <w:rFonts w:ascii="Century Schoolbook" w:hAnsi="Century Schoolbook"/>
        </w:rPr>
        <w:t>, European Court of Human Rights, Judgment of 4 November 2014, Application No. 29217/12.</w:t>
      </w:r>
      <w:r w:rsidR="00810FDA" w:rsidRPr="00E53E52">
        <w:rPr>
          <w:rFonts w:ascii="Century Schoolbook" w:hAnsi="Century Schoolbook"/>
        </w:rPr>
        <w:t xml:space="preserve"> </w:t>
      </w:r>
      <w:r w:rsidR="0075684D" w:rsidRPr="00E53E52">
        <w:rPr>
          <w:rFonts w:ascii="Century Schoolbook" w:hAnsi="Century Schoolbook"/>
        </w:rPr>
        <w:t>T</w:t>
      </w:r>
      <w:r w:rsidRPr="00E53E52">
        <w:rPr>
          <w:rFonts w:ascii="Century Schoolbook" w:hAnsi="Century Schoolbook"/>
        </w:rPr>
        <w:t>he</w:t>
      </w:r>
      <w:r w:rsidR="0075684D" w:rsidRPr="00E53E52">
        <w:rPr>
          <w:rFonts w:ascii="Century Schoolbook" w:hAnsi="Century Schoolbook"/>
        </w:rPr>
        <w:t>re was compelling</w:t>
      </w:r>
      <w:r w:rsidRPr="00E53E52">
        <w:rPr>
          <w:rFonts w:ascii="Century Schoolbook" w:hAnsi="Century Schoolbook"/>
        </w:rPr>
        <w:t xml:space="preserve"> evidence of s</w:t>
      </w:r>
      <w:r w:rsidR="0075684D" w:rsidRPr="00E53E52">
        <w:rPr>
          <w:rFonts w:ascii="Century Schoolbook" w:hAnsi="Century Schoolbook"/>
        </w:rPr>
        <w:t xml:space="preserve">erious long-standing </w:t>
      </w:r>
      <w:r w:rsidRPr="00E53E52">
        <w:rPr>
          <w:rFonts w:ascii="Century Schoolbook" w:hAnsi="Century Schoolbook"/>
        </w:rPr>
        <w:t xml:space="preserve">problems </w:t>
      </w:r>
      <w:r w:rsidR="0075684D" w:rsidRPr="00E53E52">
        <w:rPr>
          <w:rFonts w:ascii="Century Schoolbook" w:hAnsi="Century Schoolbook"/>
        </w:rPr>
        <w:t>throughout</w:t>
      </w:r>
      <w:r w:rsidRPr="00E53E52">
        <w:rPr>
          <w:rFonts w:ascii="Century Schoolbook" w:hAnsi="Century Schoolbook"/>
        </w:rPr>
        <w:t xml:space="preserve"> the Italian asylum system,</w:t>
      </w:r>
      <w:r w:rsidR="0075684D" w:rsidRPr="00E53E52">
        <w:rPr>
          <w:rFonts w:ascii="Century Schoolbook" w:hAnsi="Century Schoolbook"/>
        </w:rPr>
        <w:t xml:space="preserve"> with the number of asylum seekers far outstripping government accommodations.</w:t>
      </w:r>
      <w:r w:rsidR="00810FDA" w:rsidRPr="00E53E52">
        <w:rPr>
          <w:rFonts w:ascii="Century Schoolbook" w:hAnsi="Century Schoolbook"/>
        </w:rPr>
        <w:t xml:space="preserve"> </w:t>
      </w:r>
      <w:r w:rsidR="008C6B37" w:rsidRPr="00E53E52">
        <w:rPr>
          <w:rFonts w:ascii="Century Schoolbook" w:hAnsi="Century Schoolbook"/>
        </w:rPr>
        <w:t>In addition, a</w:t>
      </w:r>
      <w:r w:rsidR="0075684D" w:rsidRPr="00E53E52">
        <w:rPr>
          <w:rFonts w:ascii="Century Schoolbook" w:hAnsi="Century Schoolbook"/>
        </w:rPr>
        <w:t xml:space="preserve">sylum seekers housed in </w:t>
      </w:r>
      <w:r w:rsidR="008C6B37" w:rsidRPr="00E53E52">
        <w:rPr>
          <w:rFonts w:ascii="Century Schoolbook" w:hAnsi="Century Schoolbook"/>
        </w:rPr>
        <w:t>government asylum</w:t>
      </w:r>
      <w:r w:rsidR="0075684D" w:rsidRPr="00E53E52">
        <w:rPr>
          <w:rFonts w:ascii="Century Schoolbook" w:hAnsi="Century Schoolbook"/>
        </w:rPr>
        <w:t xml:space="preserve"> centers frequently faced overcrowded, unhealthy, and violent conditions.</w:t>
      </w:r>
      <w:r w:rsidR="00810FDA" w:rsidRPr="00E53E52">
        <w:rPr>
          <w:rFonts w:ascii="Century Schoolbook" w:hAnsi="Century Schoolbook"/>
        </w:rPr>
        <w:t xml:space="preserve"> </w:t>
      </w:r>
      <w:r w:rsidR="008C6B37" w:rsidRPr="00E53E52">
        <w:rPr>
          <w:rFonts w:ascii="Century Schoolbook" w:hAnsi="Century Schoolbook"/>
        </w:rPr>
        <w:t xml:space="preserve">In light of this evidence and the unique vulnerabilities of child </w:t>
      </w:r>
      <w:r w:rsidR="0075684D" w:rsidRPr="00E53E52">
        <w:rPr>
          <w:rFonts w:ascii="Century Schoolbook" w:hAnsi="Century Schoolbook"/>
        </w:rPr>
        <w:t>asylum seekers</w:t>
      </w:r>
      <w:r w:rsidR="008C6B37" w:rsidRPr="00E53E52">
        <w:rPr>
          <w:rFonts w:ascii="Century Schoolbook" w:hAnsi="Century Schoolbook"/>
        </w:rPr>
        <w:t xml:space="preserve">, the Court concluded that transferring the asylum seekers to Italy might result in the separation of the minors from their parents, leading to a </w:t>
      </w:r>
      <w:r w:rsidR="0075684D" w:rsidRPr="00E53E52">
        <w:rPr>
          <w:rFonts w:ascii="Century Schoolbook" w:hAnsi="Century Schoolbook"/>
        </w:rPr>
        <w:t>r</w:t>
      </w:r>
      <w:r w:rsidR="008C6B37" w:rsidRPr="00E53E52">
        <w:rPr>
          <w:rFonts w:ascii="Century Schoolbook" w:hAnsi="Century Schoolbook"/>
        </w:rPr>
        <w:t>eal r</w:t>
      </w:r>
      <w:r w:rsidR="0075684D" w:rsidRPr="00E53E52">
        <w:rPr>
          <w:rFonts w:ascii="Century Schoolbook" w:hAnsi="Century Schoolbook"/>
        </w:rPr>
        <w:t>isk of inhuman or degrading treatment</w:t>
      </w:r>
      <w:r w:rsidR="008C6B37" w:rsidRPr="00E53E52">
        <w:rPr>
          <w:rFonts w:ascii="Century Schoolbook" w:hAnsi="Century Schoolbook"/>
        </w:rPr>
        <w:t>.</w:t>
      </w:r>
      <w:r w:rsidR="00810FDA" w:rsidRPr="00E53E52">
        <w:rPr>
          <w:rFonts w:ascii="Century Schoolbook" w:hAnsi="Century Schoolbook"/>
        </w:rPr>
        <w:t xml:space="preserve"> </w:t>
      </w:r>
      <w:r w:rsidR="008C6B37" w:rsidRPr="00E53E52">
        <w:rPr>
          <w:rFonts w:ascii="Century Schoolbook" w:hAnsi="Century Schoolbook"/>
        </w:rPr>
        <w:t>Accordingly, the Court forbade Sw</w:t>
      </w:r>
      <w:r w:rsidR="0038732C" w:rsidRPr="00E53E52">
        <w:rPr>
          <w:rFonts w:ascii="Century Schoolbook" w:hAnsi="Century Schoolbook"/>
        </w:rPr>
        <w:t xml:space="preserve">itzerland </w:t>
      </w:r>
      <w:r w:rsidR="008C6B37" w:rsidRPr="00E53E52">
        <w:rPr>
          <w:rFonts w:ascii="Century Schoolbook" w:hAnsi="Century Schoolbook"/>
        </w:rPr>
        <w:t xml:space="preserve">from </w:t>
      </w:r>
      <w:r w:rsidR="0038732C" w:rsidRPr="00E53E52">
        <w:rPr>
          <w:rFonts w:ascii="Century Schoolbook" w:hAnsi="Century Schoolbook"/>
        </w:rPr>
        <w:t>returning the asylum seekers to Italy without first obtaining individualized guarantees that the Italian authorities would provide accommodations appropriate to the age of the children and would keep the family together.</w:t>
      </w:r>
    </w:p>
    <w:p w14:paraId="2EF776BF" w14:textId="00F4CF1D" w:rsidR="00886D1E" w:rsidRDefault="00D87760" w:rsidP="001D1D6E">
      <w:pPr>
        <w:spacing w:after="120"/>
        <w:jc w:val="center"/>
        <w:rPr>
          <w:rFonts w:ascii="Century Schoolbook" w:hAnsi="Century Schoolbook"/>
          <w:b/>
        </w:rPr>
      </w:pPr>
      <w:r w:rsidRPr="00E53E52">
        <w:rPr>
          <w:rFonts w:ascii="Century Schoolbook" w:hAnsi="Century Schoolbook"/>
          <w:b/>
        </w:rPr>
        <w:t>__________</w:t>
      </w:r>
      <w:r w:rsidR="00293DA4" w:rsidRPr="00E53E52">
        <w:rPr>
          <w:rFonts w:ascii="Century Schoolbook" w:hAnsi="Century Schoolbook"/>
          <w:b/>
        </w:rPr>
        <w:t>__________</w:t>
      </w:r>
      <w:bookmarkStart w:id="124" w:name="_GoBack"/>
      <w:bookmarkEnd w:id="124"/>
    </w:p>
    <w:sectPr w:rsidR="00886D1E" w:rsidSect="00BE54B1">
      <w:headerReference w:type="default" r:id="rId65"/>
      <w:footerReference w:type="default" r:id="rId6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47254" w14:textId="77777777" w:rsidR="001C3406" w:rsidRDefault="001C3406" w:rsidP="000120FA">
      <w:pPr>
        <w:spacing w:after="0" w:line="240" w:lineRule="auto"/>
      </w:pPr>
      <w:r>
        <w:separator/>
      </w:r>
    </w:p>
  </w:endnote>
  <w:endnote w:type="continuationSeparator" w:id="0">
    <w:p w14:paraId="7727AAC1" w14:textId="77777777" w:rsidR="001C3406" w:rsidRDefault="001C3406" w:rsidP="00012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New Century Schoolbook">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enturyExpandedBT-Roman">
    <w:altName w:val="Calibri"/>
    <w:panose1 w:val="00000000000000000000"/>
    <w:charset w:val="00"/>
    <w:family w:val="auto"/>
    <w:notTrueType/>
    <w:pitch w:val="default"/>
    <w:sig w:usb0="00000003" w:usb1="00000000" w:usb2="00000000" w:usb3="00000000" w:csb0="00000001" w:csb1="00000000"/>
  </w:font>
  <w:font w:name="CenturyExpandedBT-Italic">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114584"/>
      <w:docPartObj>
        <w:docPartGallery w:val="Page Numbers (Bottom of Page)"/>
        <w:docPartUnique/>
      </w:docPartObj>
    </w:sdtPr>
    <w:sdtEndPr>
      <w:rPr>
        <w:rFonts w:ascii="Century Schoolbook" w:hAnsi="Century Schoolbook"/>
        <w:noProof/>
      </w:rPr>
    </w:sdtEndPr>
    <w:sdtContent>
      <w:p w14:paraId="7EC59241" w14:textId="457FF3CE" w:rsidR="00E81F48" w:rsidRPr="00AB060D" w:rsidRDefault="00E81F48">
        <w:pPr>
          <w:pStyle w:val="Footer"/>
          <w:jc w:val="center"/>
          <w:rPr>
            <w:rFonts w:ascii="Century Schoolbook" w:hAnsi="Century Schoolbook"/>
          </w:rPr>
        </w:pPr>
        <w:r w:rsidRPr="00AB060D">
          <w:rPr>
            <w:rFonts w:ascii="Century Schoolbook" w:hAnsi="Century Schoolbook"/>
          </w:rPr>
          <w:fldChar w:fldCharType="begin"/>
        </w:r>
        <w:r w:rsidRPr="00AB060D">
          <w:rPr>
            <w:rFonts w:ascii="Century Schoolbook" w:hAnsi="Century Schoolbook"/>
          </w:rPr>
          <w:instrText xml:space="preserve"> PAGE   \* MERGEFORMAT </w:instrText>
        </w:r>
        <w:r w:rsidRPr="00AB060D">
          <w:rPr>
            <w:rFonts w:ascii="Century Schoolbook" w:hAnsi="Century Schoolbook"/>
          </w:rPr>
          <w:fldChar w:fldCharType="separate"/>
        </w:r>
        <w:r>
          <w:rPr>
            <w:rFonts w:ascii="Century Schoolbook" w:hAnsi="Century Schoolbook"/>
            <w:noProof/>
          </w:rPr>
          <w:t>26</w:t>
        </w:r>
        <w:r w:rsidRPr="00AB060D">
          <w:rPr>
            <w:rFonts w:ascii="Century Schoolbook" w:hAnsi="Century Schoolbook"/>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58ED8" w14:textId="77777777" w:rsidR="001C3406" w:rsidRDefault="001C3406" w:rsidP="000120FA">
      <w:pPr>
        <w:spacing w:after="0" w:line="240" w:lineRule="auto"/>
      </w:pPr>
      <w:r>
        <w:separator/>
      </w:r>
    </w:p>
  </w:footnote>
  <w:footnote w:type="continuationSeparator" w:id="0">
    <w:p w14:paraId="581C617A" w14:textId="77777777" w:rsidR="001C3406" w:rsidRDefault="001C3406" w:rsidP="000120FA">
      <w:pPr>
        <w:spacing w:after="0" w:line="240" w:lineRule="auto"/>
      </w:pPr>
      <w:r>
        <w:continuationSeparator/>
      </w:r>
    </w:p>
  </w:footnote>
  <w:footnote w:id="1">
    <w:p w14:paraId="48D76E1B" w14:textId="07A43403" w:rsidR="00E81F48" w:rsidRPr="00052970" w:rsidRDefault="00E81F48" w:rsidP="00912047">
      <w:pPr>
        <w:pStyle w:val="FootnoteText"/>
        <w:ind w:firstLine="720"/>
        <w:jc w:val="both"/>
        <w:rPr>
          <w:rFonts w:ascii="Century Schoolbook" w:hAnsi="Century Schoolbook"/>
        </w:rPr>
      </w:pPr>
      <w:r w:rsidRPr="00E53E52">
        <w:rPr>
          <w:rStyle w:val="FootnoteReference"/>
          <w:rFonts w:ascii="Century Schoolbook" w:hAnsi="Century Schoolbook"/>
        </w:rPr>
        <w:footnoteRef/>
      </w:r>
      <w:r w:rsidRPr="00E53E52">
        <w:rPr>
          <w:rFonts w:ascii="Century Schoolbook" w:hAnsi="Century Schoolbook"/>
        </w:rPr>
        <w:t xml:space="preserve"> The 2017 </w:t>
      </w:r>
      <w:r w:rsidR="005237B5" w:rsidRPr="00E53E52">
        <w:rPr>
          <w:rFonts w:ascii="Century Schoolbook" w:hAnsi="Century Schoolbook"/>
        </w:rPr>
        <w:t xml:space="preserve">EOIR Statistics </w:t>
      </w:r>
      <w:r w:rsidRPr="00E53E52">
        <w:rPr>
          <w:rFonts w:ascii="Century Schoolbook" w:hAnsi="Century Schoolbook"/>
        </w:rPr>
        <w:t xml:space="preserve">Yearbook broke from earlier Yearbooks in no longer reporting asylum grant rates by affirmative and defensive claims. The total grant rate that EOIR reported in 2017 was 10,654, compared to 9,753 in 2013. The denial rate in 2017 was 17,677 compared to 8,665 in 2013. </w:t>
      </w:r>
      <w:r w:rsidRPr="00E53E52">
        <w:rPr>
          <w:rFonts w:ascii="Century Schoolbook" w:hAnsi="Century Schoolbook"/>
          <w:i/>
        </w:rPr>
        <w:t xml:space="preserve">See </w:t>
      </w:r>
      <w:r w:rsidRPr="00E53E52">
        <w:rPr>
          <w:rFonts w:ascii="Century Schoolbook" w:hAnsi="Century Schoolbook"/>
        </w:rPr>
        <w:t xml:space="preserve">2017 </w:t>
      </w:r>
      <w:r w:rsidRPr="00E53E52">
        <w:rPr>
          <w:rFonts w:ascii="Century Schoolbook" w:hAnsi="Century Schoolbook"/>
          <w:noProof/>
        </w:rPr>
        <w:t>EOIR Statistics Yearbook, Fig. 19.</w:t>
      </w:r>
    </w:p>
  </w:footnote>
  <w:footnote w:id="2">
    <w:p w14:paraId="4865491C" w14:textId="6CA5EE9B" w:rsidR="00E81F48" w:rsidRPr="00DA2A7D" w:rsidRDefault="00E81F48" w:rsidP="00DA2A7D">
      <w:pPr>
        <w:pStyle w:val="FootnoteText"/>
        <w:spacing w:after="120"/>
        <w:ind w:firstLine="432"/>
        <w:jc w:val="both"/>
        <w:rPr>
          <w:rFonts w:ascii="Century Schoolbook" w:hAnsi="Century Schoolbook"/>
        </w:rPr>
      </w:pPr>
      <w:r w:rsidRPr="00DA2A7D">
        <w:rPr>
          <w:rStyle w:val="FootnoteReference"/>
          <w:rFonts w:ascii="Century Schoolbook" w:hAnsi="Century Schoolbook"/>
        </w:rPr>
        <w:t>9</w:t>
      </w:r>
      <w:r w:rsidRPr="00DA2A7D">
        <w:rPr>
          <w:rFonts w:ascii="Century Schoolbook" w:hAnsi="Century Schoolbook"/>
        </w:rPr>
        <w:t xml:space="preserve"> The Supreme Court has stated that administrative agencies may adopt a new or changed interpretation as long as it is based on a </w:t>
      </w:r>
      <w:r>
        <w:rPr>
          <w:rFonts w:ascii="Century Schoolbook" w:hAnsi="Century Schoolbook"/>
        </w:rPr>
        <w:t>“</w:t>
      </w:r>
      <w:r w:rsidRPr="00DA2A7D">
        <w:rPr>
          <w:rFonts w:ascii="Century Schoolbook" w:hAnsi="Century Schoolbook"/>
        </w:rPr>
        <w:t>reasoned explanation.</w:t>
      </w:r>
      <w:r>
        <w:rPr>
          <w:rFonts w:ascii="Century Schoolbook" w:hAnsi="Century Schoolbook"/>
        </w:rPr>
        <w:t>”</w:t>
      </w:r>
      <w:r w:rsidRPr="00DA2A7D">
        <w:rPr>
          <w:rFonts w:ascii="Century Schoolbook" w:hAnsi="Century Schoolbook"/>
        </w:rPr>
        <w:t xml:space="preserve"> </w:t>
      </w:r>
      <w:r w:rsidRPr="00DA2A7D">
        <w:rPr>
          <w:rFonts w:ascii="Century Schoolbook" w:hAnsi="Century Schoolbook"/>
          <w:i/>
        </w:rPr>
        <w:t>FCC v. Fox Television Stations, Inc.,</w:t>
      </w:r>
      <w:r w:rsidRPr="00DA2A7D">
        <w:rPr>
          <w:rFonts w:ascii="Century Schoolbook" w:hAnsi="Century Schoolbook"/>
        </w:rPr>
        <w:t xml:space="preserve"> 556 U.S. 502, 515-16 (2009). Our decision in this case is not a new interpretation, but it further explains the importance of particularity and social distinction as part of the statutory definition of the phrase </w:t>
      </w:r>
      <w:r>
        <w:rPr>
          <w:rFonts w:ascii="Century Schoolbook" w:hAnsi="Century Schoolbook"/>
        </w:rPr>
        <w:t>“</w:t>
      </w:r>
      <w:r w:rsidRPr="00DA2A7D">
        <w:rPr>
          <w:rFonts w:ascii="Century Schoolbook" w:hAnsi="Century Schoolbook"/>
        </w:rPr>
        <w:t>particular social group.</w:t>
      </w:r>
      <w:r>
        <w:rPr>
          <w:rFonts w:ascii="Century Schoolbook" w:hAnsi="Century Schoolbook"/>
        </w:rPr>
        <w:t>”</w:t>
      </w:r>
    </w:p>
  </w:footnote>
  <w:footnote w:id="3">
    <w:p w14:paraId="70B28A57" w14:textId="2F79F2F5" w:rsidR="00E81F48" w:rsidRPr="00DA2A7D" w:rsidRDefault="00E81F48" w:rsidP="00DA2A7D">
      <w:pPr>
        <w:pStyle w:val="FootnoteText"/>
        <w:spacing w:after="120"/>
        <w:ind w:firstLine="432"/>
        <w:jc w:val="both"/>
        <w:rPr>
          <w:rFonts w:ascii="Century Schoolbook" w:hAnsi="Century Schoolbook"/>
        </w:rPr>
      </w:pPr>
      <w:r w:rsidRPr="00DA2A7D">
        <w:rPr>
          <w:rStyle w:val="FootnoteReference"/>
          <w:rFonts w:ascii="Century Schoolbook" w:hAnsi="Century Schoolbook"/>
        </w:rPr>
        <w:t>12</w:t>
      </w:r>
      <w:r w:rsidRPr="00DA2A7D">
        <w:rPr>
          <w:rFonts w:ascii="Century Schoolbook" w:hAnsi="Century Schoolbook"/>
        </w:rPr>
        <w:t xml:space="preserve"> Although members of a particular social group will generally understand their own affiliation with the group, such self-awareness is not a requirement for the group</w:t>
      </w:r>
      <w:r>
        <w:rPr>
          <w:rFonts w:ascii="Century Schoolbook" w:hAnsi="Century Schoolbook"/>
        </w:rPr>
        <w:t>’</w:t>
      </w:r>
      <w:r w:rsidRPr="00DA2A7D">
        <w:rPr>
          <w:rFonts w:ascii="Century Schoolbook" w:hAnsi="Century Schoolbook"/>
        </w:rPr>
        <w:t>s existence. Nevertheless, as a practical matter, this point is of little import because the applicants in removal proceedings are generally professing their membership in these groups in the process of seeking asylum.</w:t>
      </w:r>
    </w:p>
  </w:footnote>
  <w:footnote w:id="4">
    <w:p w14:paraId="0C721D46" w14:textId="77777777" w:rsidR="00E81F48" w:rsidRPr="00DA2A7D" w:rsidRDefault="00E81F48" w:rsidP="00DA2A7D">
      <w:pPr>
        <w:pStyle w:val="FootnoteText"/>
        <w:spacing w:after="120"/>
        <w:ind w:firstLine="432"/>
        <w:jc w:val="both"/>
        <w:rPr>
          <w:rFonts w:ascii="Century Schoolbook" w:hAnsi="Century Schoolbook"/>
        </w:rPr>
      </w:pPr>
      <w:r w:rsidRPr="00DA2A7D">
        <w:rPr>
          <w:rStyle w:val="FootnoteReference"/>
          <w:rFonts w:ascii="Century Schoolbook" w:hAnsi="Century Schoolbook"/>
        </w:rPr>
        <w:t>13</w:t>
      </w:r>
      <w:r w:rsidRPr="00DA2A7D">
        <w:rPr>
          <w:rFonts w:ascii="Century Schoolbook" w:hAnsi="Century Schoolbook"/>
        </w:rPr>
        <w:t xml:space="preserve"> However, there is a critical difference between a political opinion or religious belief, which may in theory be entirely personal and idiosyncratic, and membership in a particular social group, which requires that others in the society share the characteristics that define the group.</w:t>
      </w:r>
    </w:p>
  </w:footnote>
  <w:footnote w:id="5">
    <w:p w14:paraId="10D9CF0A" w14:textId="2F5CF72A" w:rsidR="00E81F48" w:rsidRPr="00DA2A7D" w:rsidRDefault="00E81F48" w:rsidP="00DA2A7D">
      <w:pPr>
        <w:pStyle w:val="FootnoteText"/>
        <w:ind w:firstLine="720"/>
        <w:jc w:val="both"/>
        <w:rPr>
          <w:rFonts w:ascii="Century Schoolbook" w:hAnsi="Century Schoolbook"/>
        </w:rPr>
      </w:pPr>
      <w:r w:rsidRPr="00DA2A7D">
        <w:rPr>
          <w:rStyle w:val="FootnoteReference"/>
          <w:rFonts w:ascii="Century Schoolbook" w:hAnsi="Century Schoolbook"/>
        </w:rPr>
        <w:footnoteRef/>
      </w:r>
      <w:r w:rsidRPr="00DA2A7D">
        <w:rPr>
          <w:rFonts w:ascii="Century Schoolbook" w:hAnsi="Century Schoolbook"/>
        </w:rPr>
        <w:t xml:space="preserve"> Article 10.1(d) of the European Union</w:t>
      </w:r>
      <w:r>
        <w:rPr>
          <w:rFonts w:ascii="Century Schoolbook" w:hAnsi="Century Schoolbook"/>
        </w:rPr>
        <w:t>’</w:t>
      </w:r>
      <w:r w:rsidRPr="00DA2A7D">
        <w:rPr>
          <w:rFonts w:ascii="Century Schoolbook" w:hAnsi="Century Schoolbook"/>
        </w:rPr>
        <w:t>s guidelines states:</w:t>
      </w:r>
    </w:p>
    <w:p w14:paraId="0EE8667D" w14:textId="77777777" w:rsidR="00E81F48" w:rsidRPr="00DA2A7D" w:rsidRDefault="00E81F48" w:rsidP="00DA2A7D">
      <w:pPr>
        <w:pStyle w:val="FootnoteText"/>
        <w:jc w:val="both"/>
        <w:rPr>
          <w:rFonts w:ascii="Century Schoolbook" w:hAnsi="Century Schoolbook"/>
        </w:rPr>
      </w:pPr>
      <w:r w:rsidRPr="00DA2A7D">
        <w:rPr>
          <w:rFonts w:ascii="Century Schoolbook" w:hAnsi="Century Schoolbook"/>
        </w:rPr>
        <w:t>[A] group shall be considered to form a particular social group where in particular:</w:t>
      </w:r>
    </w:p>
    <w:p w14:paraId="04B07133" w14:textId="77777777" w:rsidR="00E81F48" w:rsidRPr="00DA2A7D" w:rsidRDefault="00E81F48" w:rsidP="00DA2A7D">
      <w:pPr>
        <w:pStyle w:val="FootnoteText"/>
        <w:jc w:val="both"/>
        <w:rPr>
          <w:rFonts w:ascii="Century Schoolbook" w:hAnsi="Century Schoolbook"/>
        </w:rPr>
      </w:pPr>
      <w:r w:rsidRPr="00DA2A7D">
        <w:rPr>
          <w:rFonts w:ascii="Century Schoolbook" w:hAnsi="Century Schoolbook"/>
        </w:rPr>
        <w:t xml:space="preserve">––members of that group share an innate characteristic, or a common background that cannot be changed, or share a characteristic or belief that is so fundamental to identity or conscience that a person should not be forced to renounce it, </w:t>
      </w:r>
      <w:r w:rsidRPr="00DA2A7D">
        <w:rPr>
          <w:rFonts w:ascii="Century Schoolbook" w:hAnsi="Century Schoolbook"/>
          <w:i/>
          <w:iCs/>
        </w:rPr>
        <w:t>and</w:t>
      </w:r>
    </w:p>
    <w:p w14:paraId="7FF3764F" w14:textId="77777777" w:rsidR="00E81F48" w:rsidRPr="00DA2A7D" w:rsidRDefault="00E81F48" w:rsidP="00DA2A7D">
      <w:pPr>
        <w:pStyle w:val="FootnoteText"/>
        <w:jc w:val="both"/>
        <w:rPr>
          <w:rFonts w:ascii="Century Schoolbook" w:hAnsi="Century Schoolbook"/>
        </w:rPr>
      </w:pPr>
      <w:r w:rsidRPr="00DA2A7D">
        <w:rPr>
          <w:rFonts w:ascii="Century Schoolbook" w:hAnsi="Century Schoolbook"/>
        </w:rPr>
        <w:t>––that group has a distinct identity in the relevant country, because it is perceived as being different by the surrounding society.</w:t>
      </w:r>
    </w:p>
    <w:p w14:paraId="3A0EAB29" w14:textId="77777777" w:rsidR="00E81F48" w:rsidRPr="00DA2A7D" w:rsidRDefault="00E81F48" w:rsidP="00DA2A7D">
      <w:pPr>
        <w:pStyle w:val="FootnoteText"/>
        <w:tabs>
          <w:tab w:val="left" w:pos="540"/>
        </w:tabs>
        <w:jc w:val="both"/>
        <w:rPr>
          <w:rFonts w:ascii="Century Schoolbook" w:hAnsi="Century Schoolbook"/>
        </w:rPr>
      </w:pPr>
      <w:r w:rsidRPr="00DA2A7D">
        <w:rPr>
          <w:rFonts w:ascii="Century Schoolbook" w:hAnsi="Century Schoolbook"/>
        </w:rPr>
        <w:t>Directive 2011/95/EU, of the European Parliament and of the Council of 13 December 2011 on Standards for the Qualification of Third-Country Nationals or Stateless Persons as Beneficiaries of International Protection * * * .</w:t>
      </w:r>
    </w:p>
  </w:footnote>
  <w:footnote w:id="6">
    <w:p w14:paraId="5FC9247A" w14:textId="05D61AB1" w:rsidR="00E81F48" w:rsidRPr="00DA2A7D" w:rsidRDefault="00E81F48" w:rsidP="00DA2A7D">
      <w:pPr>
        <w:pStyle w:val="FootnoteText"/>
        <w:spacing w:after="120"/>
        <w:ind w:firstLine="720"/>
        <w:jc w:val="both"/>
        <w:rPr>
          <w:rFonts w:ascii="Century Schoolbook" w:hAnsi="Century Schoolbook"/>
        </w:rPr>
      </w:pPr>
      <w:r w:rsidRPr="00DA2A7D">
        <w:rPr>
          <w:rStyle w:val="FootnoteReference"/>
          <w:rFonts w:ascii="Century Schoolbook" w:hAnsi="Century Schoolbook"/>
        </w:rPr>
        <w:footnoteRef/>
      </w:r>
      <w:r w:rsidRPr="00DA2A7D">
        <w:rPr>
          <w:rFonts w:ascii="Century Schoolbook" w:hAnsi="Century Schoolbook"/>
        </w:rPr>
        <w:t xml:space="preserve"> We also rejected the applicant</w:t>
      </w:r>
      <w:r>
        <w:rPr>
          <w:rFonts w:ascii="Century Schoolbook" w:hAnsi="Century Schoolbook"/>
        </w:rPr>
        <w:t>’</w:t>
      </w:r>
      <w:r w:rsidRPr="00DA2A7D">
        <w:rPr>
          <w:rFonts w:ascii="Century Schoolbook" w:hAnsi="Century Schoolbook"/>
        </w:rPr>
        <w:t xml:space="preserve">s second proposed social group of </w:t>
      </w:r>
      <w:r>
        <w:rPr>
          <w:rFonts w:ascii="Century Schoolbook" w:hAnsi="Century Schoolbook"/>
        </w:rPr>
        <w:t>“</w:t>
      </w:r>
      <w:r w:rsidRPr="00DA2A7D">
        <w:rPr>
          <w:rFonts w:ascii="Century Schoolbook" w:hAnsi="Century Schoolbook"/>
        </w:rPr>
        <w:t>young persons who are perceived to be affiliated with gangs.</w:t>
      </w:r>
      <w:r>
        <w:rPr>
          <w:rFonts w:ascii="Century Schoolbook" w:hAnsi="Century Schoolbook"/>
        </w:rPr>
        <w:t>”</w:t>
      </w:r>
      <w:r w:rsidRPr="00DA2A7D">
        <w:rPr>
          <w:rFonts w:ascii="Century Schoolbook" w:hAnsi="Century Schoolbook"/>
        </w:rPr>
        <w:t xml:space="preserve"> We held that membership, or perceived membership, in a criminal gang cannot constitute a particular social group because </w:t>
      </w:r>
      <w:r>
        <w:rPr>
          <w:rFonts w:ascii="Century Schoolbook" w:hAnsi="Century Schoolbook"/>
        </w:rPr>
        <w:t>“</w:t>
      </w:r>
      <w:r w:rsidRPr="00DA2A7D">
        <w:rPr>
          <w:rFonts w:ascii="Century Schoolbook" w:hAnsi="Century Schoolbook"/>
        </w:rPr>
        <w:t>[t]reating affiliation with a criminal organization as being protected membership in a social group is inconsistent with the principles underlying the bars to asylum and withholding of removal based on criminal behavior.</w:t>
      </w:r>
      <w:r>
        <w:rPr>
          <w:rFonts w:ascii="Century Schoolbook" w:hAnsi="Century Schoolbook"/>
        </w:rPr>
        <w:t>”</w:t>
      </w:r>
      <w:r w:rsidRPr="00DA2A7D">
        <w:rPr>
          <w:rFonts w:ascii="Century Schoolbook" w:hAnsi="Century Schoolbook"/>
        </w:rPr>
        <w:t xml:space="preserve"> </w:t>
      </w:r>
      <w:r w:rsidRPr="00DA2A7D">
        <w:rPr>
          <w:rFonts w:ascii="Century Schoolbook" w:hAnsi="Century Schoolbook"/>
          <w:i/>
          <w:iCs/>
        </w:rPr>
        <w:t>Id</w:t>
      </w:r>
      <w:r w:rsidRPr="00DA2A7D">
        <w:rPr>
          <w:rFonts w:ascii="Century Schoolbook" w:hAnsi="Century Schoolbook"/>
        </w:rPr>
        <w:t xml:space="preserve">. at 596; </w:t>
      </w:r>
      <w:r w:rsidRPr="00DA2A7D">
        <w:rPr>
          <w:rFonts w:ascii="Century Schoolbook" w:hAnsi="Century Schoolbook"/>
          <w:i/>
          <w:iCs/>
        </w:rPr>
        <w:t>see also Arteaga v. Mukasey</w:t>
      </w:r>
      <w:r w:rsidRPr="00DA2A7D">
        <w:rPr>
          <w:rFonts w:ascii="Century Schoolbook" w:hAnsi="Century Schoolbook"/>
        </w:rPr>
        <w:t>, 511 F.3d 940 (9th Cir. 2007).</w:t>
      </w:r>
    </w:p>
  </w:footnote>
  <w:footnote w:id="7">
    <w:p w14:paraId="23B7AAF2" w14:textId="77777777" w:rsidR="00E81F48" w:rsidRPr="00A91C16" w:rsidRDefault="00E81F48" w:rsidP="00C05FDF">
      <w:pPr>
        <w:pStyle w:val="FootnoteText"/>
        <w:ind w:firstLine="720"/>
        <w:jc w:val="both"/>
        <w:rPr>
          <w:rFonts w:ascii="Century Schoolbook" w:hAnsi="Century Schoolbook"/>
        </w:rPr>
      </w:pPr>
      <w:r w:rsidRPr="00A91C16">
        <w:rPr>
          <w:rStyle w:val="FootnoteReference"/>
          <w:rFonts w:ascii="Century Schoolbook" w:hAnsi="Century Schoolbook"/>
        </w:rPr>
        <w:footnoteRef/>
      </w:r>
      <w:r w:rsidRPr="00A91C16">
        <w:rPr>
          <w:rFonts w:ascii="Century Schoolbook" w:hAnsi="Century Schoolbook"/>
        </w:rPr>
        <w:t xml:space="preserve"> </w:t>
      </w:r>
      <w:r w:rsidRPr="00A91C16">
        <w:rPr>
          <w:rFonts w:ascii="Century Schoolbook" w:hAnsi="Century Schoolbook"/>
          <w:color w:val="000000"/>
        </w:rPr>
        <w:t xml:space="preserve">Some proposed group definitions appear, on their face, to be convoluted and to lack any greater importance in society. </w:t>
      </w:r>
      <w:r w:rsidRPr="00A91C16">
        <w:rPr>
          <w:rFonts w:ascii="Century Schoolbook" w:hAnsi="Century Schoolbook"/>
          <w:i/>
          <w:iCs/>
          <w:color w:val="000000"/>
        </w:rPr>
        <w:t>See, e.g.</w:t>
      </w:r>
      <w:r w:rsidRPr="00A91C16">
        <w:rPr>
          <w:rFonts w:ascii="Century Schoolbook" w:hAnsi="Century Schoolbook"/>
          <w:color w:val="000000"/>
        </w:rPr>
        <w:t xml:space="preserve">, </w:t>
      </w:r>
      <w:hyperlink r:id="rId1" w:anchor="co_pp_sp_6538_421" w:history="1">
        <w:r w:rsidRPr="00A91C16">
          <w:rPr>
            <w:rFonts w:ascii="Century Schoolbook" w:hAnsi="Century Schoolbook"/>
            <w:i/>
            <w:iCs/>
            <w:color w:val="000000"/>
          </w:rPr>
          <w:t>Franco-Reyes v. Sessions</w:t>
        </w:r>
        <w:r w:rsidRPr="00A91C16">
          <w:rPr>
            <w:rFonts w:ascii="Century Schoolbook" w:hAnsi="Century Schoolbook"/>
            <w:color w:val="000000"/>
          </w:rPr>
          <w:t>, 740 F. App’x 420, 421 (5th Cir. 2018)</w:t>
        </w:r>
      </w:hyperlink>
      <w:r w:rsidRPr="00A91C16">
        <w:rPr>
          <w:rFonts w:ascii="Century Schoolbook" w:hAnsi="Century Schoolbook"/>
          <w:color w:val="000000"/>
        </w:rPr>
        <w:t xml:space="preserve"> (proposed group comprising Salvadoran “nuclear fami[ies] [stet] headed by a woman with a partner who is perceived as being absent and who is perceived as having expatriated himself”); </w:t>
      </w:r>
      <w:hyperlink r:id="rId2" w:anchor="co_pp_sp_6538_301" w:history="1">
        <w:r w:rsidRPr="00A91C16">
          <w:rPr>
            <w:rFonts w:ascii="Century Schoolbook" w:hAnsi="Century Schoolbook"/>
            <w:i/>
            <w:iCs/>
            <w:color w:val="000000"/>
          </w:rPr>
          <w:t>Solomon-Membreno v. Holder</w:t>
        </w:r>
        <w:r w:rsidRPr="00A91C16">
          <w:rPr>
            <w:rFonts w:ascii="Century Schoolbook" w:hAnsi="Century Schoolbook"/>
            <w:color w:val="000000"/>
          </w:rPr>
          <w:t>, 578 F. App’x 300, 301 (4th Cir. 2014)</w:t>
        </w:r>
      </w:hyperlink>
      <w:r w:rsidRPr="00A91C16">
        <w:rPr>
          <w:rFonts w:ascii="Century Schoolbook" w:hAnsi="Century Schoolbook"/>
          <w:color w:val="000000"/>
        </w:rPr>
        <w:t xml:space="preserve"> (proposed group comprising “young female students who are related to an individual who opposes gang practices and values”); </w:t>
      </w:r>
      <w:hyperlink r:id="rId3" w:anchor="co_pp_sp_506_1306" w:history="1">
        <w:r w:rsidRPr="00A91C16">
          <w:rPr>
            <w:rFonts w:ascii="Century Schoolbook" w:hAnsi="Century Schoolbook"/>
            <w:i/>
            <w:iCs/>
            <w:color w:val="000000"/>
          </w:rPr>
          <w:t xml:space="preserve">Rodriguez </w:t>
        </w:r>
        <w:r w:rsidRPr="00A91C16">
          <w:rPr>
            <w:rFonts w:ascii="Century Schoolbook" w:hAnsi="Century Schoolbook"/>
            <w:iCs/>
            <w:color w:val="000000"/>
          </w:rPr>
          <w:t>[</w:t>
        </w:r>
        <w:hyperlink r:id="rId4" w:anchor="co_pp_sp_506_1310" w:history="1">
          <w:r w:rsidRPr="00A91C16">
            <w:rPr>
              <w:rStyle w:val="Hyperlink"/>
              <w:rFonts w:eastAsiaTheme="minorHAnsi"/>
              <w:i/>
              <w:iCs/>
              <w:color w:val="000000" w:themeColor="text1"/>
              <w:sz w:val="20"/>
              <w:szCs w:val="20"/>
            </w:rPr>
            <w:t>v. U.S. Att’y Gen</w:t>
          </w:r>
          <w:r w:rsidRPr="00A91C16">
            <w:rPr>
              <w:rStyle w:val="Hyperlink"/>
              <w:rFonts w:eastAsiaTheme="minorHAnsi"/>
              <w:color w:val="000000" w:themeColor="text1"/>
              <w:sz w:val="20"/>
              <w:szCs w:val="20"/>
            </w:rPr>
            <w:t>., 735 F.3d 1302, 1306-07 (11th Cir. 2013)</w:t>
          </w:r>
        </w:hyperlink>
        <w:r w:rsidRPr="00A91C16">
          <w:rPr>
            <w:rFonts w:ascii="Century Schoolbook" w:hAnsi="Century Schoolbook"/>
            <w:color w:val="000000"/>
          </w:rPr>
          <w:t>]</w:t>
        </w:r>
      </w:hyperlink>
      <w:r w:rsidRPr="00A91C16">
        <w:rPr>
          <w:rFonts w:ascii="Century Schoolbook" w:hAnsi="Century Schoolbook"/>
          <w:color w:val="000000" w:themeColor="text1"/>
        </w:rPr>
        <w:t xml:space="preserve"> </w:t>
      </w:r>
      <w:r w:rsidRPr="00A91C16">
        <w:rPr>
          <w:rFonts w:ascii="Century Schoolbook" w:hAnsi="Century Schoolbook"/>
          <w:color w:val="000000"/>
        </w:rPr>
        <w:t xml:space="preserve">(proposed group comprising “Mexican farmers in the State of Michoacán, owning . . . farmland suitable for producing high yields of illegal drug crops (cannabis), who are subject to Drug Trafficking Organizations’ (DTOs’) extortion tactics on account of their ownership of said farmland and unwillingness to collaborate with the DTOs by refusing to grow and produce illegal drug crops or participate in illegal drug trafficking” (ellipses in original)); </w:t>
      </w:r>
      <w:hyperlink r:id="rId5" w:anchor="co_pp_sp_6538_633" w:history="1">
        <w:r w:rsidRPr="00A91C16">
          <w:rPr>
            <w:rFonts w:ascii="Century Schoolbook" w:hAnsi="Century Schoolbook"/>
            <w:i/>
            <w:iCs/>
            <w:color w:val="000000"/>
          </w:rPr>
          <w:t>Zavala v. Holder</w:t>
        </w:r>
        <w:r w:rsidRPr="00A91C16">
          <w:rPr>
            <w:rFonts w:ascii="Century Schoolbook" w:hAnsi="Century Schoolbook"/>
            <w:color w:val="000000"/>
          </w:rPr>
          <w:t>, 353 F. App’x 631, 633 (2d Cir. 2009)</w:t>
        </w:r>
      </w:hyperlink>
      <w:r w:rsidRPr="00A91C16">
        <w:rPr>
          <w:rFonts w:ascii="Century Schoolbook" w:hAnsi="Century Schoolbook"/>
          <w:color w:val="000000"/>
        </w:rPr>
        <w:t xml:space="preserve"> (proposed group comprising “all persons who the Maras have targeted for revenge or recruitment as a form of repayment for that person’s family’s failure to support the guerrillas during the civil war”).</w:t>
      </w:r>
    </w:p>
  </w:footnote>
  <w:footnote w:id="8">
    <w:p w14:paraId="2ACAFDCD" w14:textId="77777777" w:rsidR="00E81F48" w:rsidRPr="007667C9" w:rsidRDefault="00E81F48" w:rsidP="00635EA9">
      <w:pPr>
        <w:pStyle w:val="FootnoteText"/>
        <w:ind w:firstLine="720"/>
        <w:jc w:val="both"/>
        <w:rPr>
          <w:rFonts w:ascii="Century Schoolbook" w:hAnsi="Century Schoolbook"/>
        </w:rPr>
      </w:pPr>
      <w:r w:rsidRPr="008B4922">
        <w:rPr>
          <w:rStyle w:val="FootnoteReference"/>
          <w:rFonts w:ascii="Century Schoolbook" w:hAnsi="Century Schoolbook"/>
        </w:rPr>
        <w:t>*</w:t>
      </w:r>
      <w:r w:rsidRPr="008B4922">
        <w:rPr>
          <w:rFonts w:ascii="Century Schoolbook" w:hAnsi="Century Schoolbook"/>
        </w:rPr>
        <w:t xml:space="preserve"> Instructors may choose to </w:t>
      </w:r>
      <w:r>
        <w:rPr>
          <w:rFonts w:ascii="Century Schoolbook" w:hAnsi="Century Schoolbook"/>
        </w:rPr>
        <w:t xml:space="preserve">cover </w:t>
      </w:r>
      <w:r w:rsidRPr="008B4922">
        <w:rPr>
          <w:rFonts w:ascii="Century Schoolbook" w:hAnsi="Century Schoolbook"/>
          <w:i/>
        </w:rPr>
        <w:t>Matter of A-B-</w:t>
      </w:r>
      <w:r w:rsidRPr="008B4922">
        <w:rPr>
          <w:rFonts w:ascii="Century Schoolbook" w:hAnsi="Century Schoolbook"/>
        </w:rPr>
        <w:t xml:space="preserve"> </w:t>
      </w:r>
      <w:r>
        <w:rPr>
          <w:rFonts w:ascii="Century Schoolbook" w:hAnsi="Century Schoolbook"/>
        </w:rPr>
        <w:t xml:space="preserve">here because it addresses not just domestic violence cases, but also gang violence cases and membership in a particular social group more broadly. </w:t>
      </w:r>
    </w:p>
  </w:footnote>
  <w:footnote w:id="9">
    <w:p w14:paraId="6E6AC472" w14:textId="77777777" w:rsidR="00E81F48" w:rsidRPr="00597332" w:rsidRDefault="00E81F48" w:rsidP="007E3944">
      <w:pPr>
        <w:pStyle w:val="FootnoteText"/>
        <w:ind w:firstLine="720"/>
        <w:jc w:val="both"/>
        <w:rPr>
          <w:rFonts w:ascii="Century Schoolbook" w:hAnsi="Century Schoolbook"/>
        </w:rPr>
      </w:pPr>
      <w:r w:rsidRPr="00E53E52">
        <w:rPr>
          <w:rStyle w:val="FootnoteReference"/>
          <w:rFonts w:ascii="Century Schoolbook" w:hAnsi="Century Schoolbook"/>
        </w:rPr>
        <w:t>1</w:t>
      </w:r>
      <w:r w:rsidRPr="00E53E52">
        <w:rPr>
          <w:rFonts w:ascii="Century Schoolbook" w:hAnsi="Century Schoolbook"/>
        </w:rPr>
        <w:t xml:space="preserve"> </w:t>
      </w:r>
      <w:r w:rsidRPr="00E53E52">
        <w:rPr>
          <w:rFonts w:ascii="Century Schoolbook" w:hAnsi="Century Schoolbook"/>
          <w:color w:val="000000"/>
        </w:rPr>
        <w:t xml:space="preserve">Accordingly, few such claims would satisfy the legal standard to determine whether an alien has a credible fear of persecution. </w:t>
      </w:r>
      <w:r w:rsidRPr="00E53E52">
        <w:rPr>
          <w:rFonts w:ascii="Century Schoolbook" w:hAnsi="Century Schoolbook"/>
          <w:i/>
          <w:iCs/>
          <w:color w:val="000000"/>
        </w:rPr>
        <w:t>See</w:t>
      </w:r>
      <w:r w:rsidRPr="00E53E52">
        <w:rPr>
          <w:rFonts w:ascii="Century Schoolbook" w:hAnsi="Century Schoolbook"/>
          <w:color w:val="000000"/>
        </w:rPr>
        <w:t xml:space="preserve"> [INA § 235(b)(1)(B)(v)], 8 U.S.C. § 1225(b)(1)(B)(v) (requiring a “significant possibility, taking into account the credibility of the statements made by the alien in support of the alien’s claim and such other facts as are known to the officer, that the alien could establish eligibility for asylum under section 1158 of this title [INA § 208]”).</w:t>
      </w:r>
    </w:p>
  </w:footnote>
  <w:footnote w:id="10">
    <w:p w14:paraId="42893B54" w14:textId="77777777" w:rsidR="00E81F48" w:rsidRPr="00DA2A7D" w:rsidRDefault="00E81F48" w:rsidP="00DA2A7D">
      <w:pPr>
        <w:pStyle w:val="FootnoteText"/>
        <w:ind w:firstLine="720"/>
        <w:jc w:val="both"/>
        <w:rPr>
          <w:rFonts w:ascii="Century Schoolbook" w:hAnsi="Century Schoolbook"/>
          <w:szCs w:val="16"/>
        </w:rPr>
      </w:pPr>
      <w:r w:rsidRPr="00DA2A7D">
        <w:rPr>
          <w:rStyle w:val="FootnoteReference"/>
          <w:rFonts w:ascii="Century Schoolbook" w:hAnsi="Century Schoolbook"/>
          <w:szCs w:val="16"/>
        </w:rPr>
        <w:t>9</w:t>
      </w:r>
      <w:r w:rsidRPr="00DA2A7D">
        <w:rPr>
          <w:rFonts w:ascii="Century Schoolbook" w:hAnsi="Century Schoolbook"/>
          <w:szCs w:val="16"/>
        </w:rPr>
        <w:t xml:space="preserve"> This child was born in 1994 and was residing in Guatemala at the time of the proceedings.</w:t>
      </w:r>
    </w:p>
  </w:footnote>
  <w:footnote w:id="11">
    <w:p w14:paraId="25B5EBA5" w14:textId="0744F413" w:rsidR="00E81F48" w:rsidRPr="00DA2A7D" w:rsidRDefault="00E81F48" w:rsidP="00DA2A7D">
      <w:pPr>
        <w:pStyle w:val="FootnoteText"/>
        <w:ind w:firstLine="720"/>
        <w:jc w:val="both"/>
        <w:rPr>
          <w:rFonts w:ascii="Century Schoolbook" w:hAnsi="Century Schoolbook"/>
          <w:szCs w:val="16"/>
        </w:rPr>
      </w:pPr>
      <w:r w:rsidRPr="00DA2A7D">
        <w:rPr>
          <w:rStyle w:val="FootnoteReference"/>
          <w:rFonts w:ascii="Century Schoolbook" w:hAnsi="Century Schoolbook"/>
          <w:szCs w:val="16"/>
        </w:rPr>
        <w:t>14</w:t>
      </w:r>
      <w:r w:rsidRPr="00DA2A7D">
        <w:rPr>
          <w:rFonts w:ascii="Century Schoolbook" w:hAnsi="Century Schoolbook"/>
          <w:szCs w:val="16"/>
        </w:rPr>
        <w:t xml:space="preserve"> Notably, the group is not defined by the fact that the applicant is subject to domestic violence. </w:t>
      </w:r>
      <w:r w:rsidRPr="00EC1010">
        <w:rPr>
          <w:rFonts w:ascii="Century Schoolbook" w:hAnsi="Century Schoolbook"/>
          <w:i/>
          <w:szCs w:val="16"/>
        </w:rPr>
        <w:t xml:space="preserve">See </w:t>
      </w:r>
      <w:r w:rsidRPr="00DA2A7D">
        <w:rPr>
          <w:rFonts w:ascii="Century Schoolbook" w:hAnsi="Century Schoolbook"/>
          <w:i/>
          <w:szCs w:val="16"/>
        </w:rPr>
        <w:t>Matter of W-G-R-,</w:t>
      </w:r>
      <w:r w:rsidRPr="00DA2A7D">
        <w:rPr>
          <w:rFonts w:ascii="Century Schoolbook" w:hAnsi="Century Schoolbook"/>
          <w:szCs w:val="16"/>
        </w:rPr>
        <w:t xml:space="preserve"> 26 I&amp;N Dec. at 215 (noting that circuit courts </w:t>
      </w:r>
      <w:r>
        <w:rPr>
          <w:rFonts w:ascii="Century Schoolbook" w:hAnsi="Century Schoolbook"/>
          <w:szCs w:val="16"/>
        </w:rPr>
        <w:t>“</w:t>
      </w:r>
      <w:r w:rsidRPr="00DA2A7D">
        <w:rPr>
          <w:rFonts w:ascii="Century Schoolbook" w:hAnsi="Century Schoolbook"/>
          <w:szCs w:val="16"/>
        </w:rPr>
        <w:t xml:space="preserve">have long recognized that a social group must have </w:t>
      </w:r>
      <w:r>
        <w:rPr>
          <w:rFonts w:ascii="Century Schoolbook" w:hAnsi="Century Schoolbook"/>
          <w:szCs w:val="16"/>
        </w:rPr>
        <w:t>‘</w:t>
      </w:r>
      <w:r w:rsidRPr="00DA2A7D">
        <w:rPr>
          <w:rFonts w:ascii="Century Schoolbook" w:hAnsi="Century Schoolbook"/>
          <w:szCs w:val="16"/>
        </w:rPr>
        <w:t>defined boundaries</w:t>
      </w:r>
      <w:r>
        <w:rPr>
          <w:rFonts w:ascii="Century Schoolbook" w:hAnsi="Century Schoolbook"/>
          <w:szCs w:val="16"/>
        </w:rPr>
        <w:t>’</w:t>
      </w:r>
      <w:r w:rsidRPr="00DA2A7D">
        <w:rPr>
          <w:rFonts w:ascii="Century Schoolbook" w:hAnsi="Century Schoolbook"/>
          <w:szCs w:val="16"/>
        </w:rPr>
        <w:t xml:space="preserve"> or a </w:t>
      </w:r>
      <w:r>
        <w:rPr>
          <w:rFonts w:ascii="Century Schoolbook" w:hAnsi="Century Schoolbook"/>
          <w:szCs w:val="16"/>
        </w:rPr>
        <w:t>‘</w:t>
      </w:r>
      <w:r w:rsidRPr="00DA2A7D">
        <w:rPr>
          <w:rFonts w:ascii="Century Schoolbook" w:hAnsi="Century Schoolbook"/>
          <w:szCs w:val="16"/>
        </w:rPr>
        <w:t>limiting characteristic,</w:t>
      </w:r>
      <w:r>
        <w:rPr>
          <w:rFonts w:ascii="Century Schoolbook" w:hAnsi="Century Schoolbook"/>
          <w:szCs w:val="16"/>
        </w:rPr>
        <w:t>’</w:t>
      </w:r>
      <w:r w:rsidRPr="00DA2A7D">
        <w:rPr>
          <w:rFonts w:ascii="Century Schoolbook" w:hAnsi="Century Schoolbook"/>
          <w:szCs w:val="16"/>
        </w:rPr>
        <w:t xml:space="preserve"> other than the risk of being persecuted</w:t>
      </w:r>
      <w:r>
        <w:rPr>
          <w:rFonts w:ascii="Century Schoolbook" w:hAnsi="Century Schoolbook"/>
          <w:szCs w:val="16"/>
        </w:rPr>
        <w:t>”</w:t>
      </w:r>
      <w:r w:rsidRPr="00DA2A7D">
        <w:rPr>
          <w:rFonts w:ascii="Century Schoolbook" w:hAnsi="Century Schoolbook"/>
          <w:szCs w:val="16"/>
        </w:rPr>
        <w:t>).</w:t>
      </w:r>
    </w:p>
  </w:footnote>
  <w:footnote w:id="12">
    <w:p w14:paraId="4F1DE285" w14:textId="680A4852" w:rsidR="00E81F48" w:rsidRPr="00DA2A7D" w:rsidRDefault="00E81F48" w:rsidP="00DA2A7D">
      <w:pPr>
        <w:pStyle w:val="FootnoteText"/>
        <w:ind w:firstLine="720"/>
        <w:jc w:val="both"/>
        <w:rPr>
          <w:rFonts w:ascii="Century Schoolbook" w:hAnsi="Century Schoolbook"/>
        </w:rPr>
      </w:pPr>
      <w:r w:rsidRPr="00DA2A7D">
        <w:rPr>
          <w:rStyle w:val="FootnoteReference"/>
          <w:rFonts w:ascii="Century Schoolbook" w:hAnsi="Century Schoolbook"/>
        </w:rPr>
        <w:t>15</w:t>
      </w:r>
      <w:r w:rsidRPr="00DA2A7D">
        <w:rPr>
          <w:rFonts w:ascii="Century Schoolbook" w:hAnsi="Century Schoolbook"/>
          <w:szCs w:val="16"/>
        </w:rPr>
        <w:t xml:space="preserve"> The perception of the persecutor, however, is critical to the question whether a person is persecuted </w:t>
      </w:r>
      <w:r>
        <w:rPr>
          <w:rFonts w:ascii="Century Schoolbook" w:hAnsi="Century Schoolbook"/>
          <w:szCs w:val="16"/>
        </w:rPr>
        <w:t>“</w:t>
      </w:r>
      <w:r w:rsidRPr="00DA2A7D">
        <w:rPr>
          <w:rFonts w:ascii="Century Schoolbook" w:hAnsi="Century Schoolbook"/>
          <w:szCs w:val="16"/>
        </w:rPr>
        <w:t xml:space="preserve">on account of membership in a particular social group. </w:t>
      </w:r>
      <w:r w:rsidRPr="00DA2A7D">
        <w:rPr>
          <w:rFonts w:ascii="Century Schoolbook" w:hAnsi="Century Schoolbook"/>
          <w:i/>
          <w:szCs w:val="16"/>
        </w:rPr>
        <w:t>See Matter of M-E-V-G-,</w:t>
      </w:r>
      <w:r w:rsidRPr="00DA2A7D">
        <w:rPr>
          <w:rFonts w:ascii="Century Schoolbook" w:hAnsi="Century Schoolbook"/>
          <w:szCs w:val="16"/>
        </w:rPr>
        <w:t xml:space="preserve"> 26 I&amp;N Dec. at 242; </w:t>
      </w:r>
      <w:r w:rsidRPr="00DA2A7D">
        <w:rPr>
          <w:rFonts w:ascii="Century Schoolbook" w:hAnsi="Century Schoolbook"/>
          <w:i/>
          <w:szCs w:val="16"/>
        </w:rPr>
        <w:t>Matter of W-G-R</w:t>
      </w:r>
      <w:r w:rsidRPr="00DA2A7D">
        <w:rPr>
          <w:rFonts w:ascii="Century Schoolbook" w:hAnsi="Century Schoolbook"/>
          <w:szCs w:val="16"/>
        </w:rPr>
        <w:t>-, 26 I&amp;N Dec. at 218.</w:t>
      </w:r>
    </w:p>
  </w:footnote>
  <w:footnote w:id="13">
    <w:p w14:paraId="4887F064" w14:textId="0E3CACFE" w:rsidR="00E81F48" w:rsidRPr="00DA2A7D" w:rsidRDefault="00E81F48" w:rsidP="00DA2A7D">
      <w:pPr>
        <w:pStyle w:val="FootnoteText"/>
        <w:jc w:val="both"/>
        <w:rPr>
          <w:rFonts w:ascii="Century Schoolbook" w:hAnsi="Century Schoolbook"/>
        </w:rPr>
      </w:pPr>
      <w:r w:rsidRPr="00DA2A7D">
        <w:rPr>
          <w:rStyle w:val="FootnoteReference"/>
          <w:rFonts w:ascii="Century Schoolbook" w:hAnsi="Century Schoolbook"/>
        </w:rPr>
        <w:t>b</w:t>
      </w:r>
      <w:r w:rsidRPr="00DA2A7D">
        <w:rPr>
          <w:rFonts w:ascii="Century Schoolbook" w:hAnsi="Century Schoolbook"/>
        </w:rPr>
        <w:t xml:space="preserve"> See </w:t>
      </w:r>
      <w:r>
        <w:rPr>
          <w:rFonts w:ascii="Century Schoolbook" w:hAnsi="Century Schoolbook"/>
        </w:rPr>
        <w:t xml:space="preserve">casebook pp. 178-85 </w:t>
      </w:r>
      <w:r w:rsidRPr="00DA2A7D">
        <w:rPr>
          <w:rFonts w:ascii="Century Schoolbook" w:hAnsi="Century Schoolbook"/>
        </w:rPr>
        <w:t>for a discussion of discretionary grants of asylum based on past persecution despite the absence of threats of future persecution.—eds.</w:t>
      </w:r>
      <w:r>
        <w:rPr>
          <w:rFonts w:ascii="Century Schoolbook" w:hAnsi="Century Schoolbook"/>
        </w:rPr>
        <w:t xml:space="preserve"> </w:t>
      </w:r>
    </w:p>
  </w:footnote>
  <w:footnote w:id="14">
    <w:p w14:paraId="332BC6D5" w14:textId="77777777" w:rsidR="00E81F48" w:rsidRPr="007667C9" w:rsidRDefault="00E81F48" w:rsidP="00635EA9">
      <w:pPr>
        <w:pStyle w:val="FootnoteText"/>
        <w:ind w:firstLine="720"/>
        <w:jc w:val="both"/>
        <w:rPr>
          <w:rFonts w:ascii="Century Schoolbook" w:hAnsi="Century Schoolbook"/>
        </w:rPr>
      </w:pPr>
      <w:r w:rsidRPr="008B4922">
        <w:rPr>
          <w:rStyle w:val="FootnoteReference"/>
          <w:rFonts w:ascii="Century Schoolbook" w:hAnsi="Century Schoolbook"/>
        </w:rPr>
        <w:t>*</w:t>
      </w:r>
      <w:r w:rsidRPr="008B4922">
        <w:rPr>
          <w:rFonts w:ascii="Century Schoolbook" w:hAnsi="Century Schoolbook"/>
        </w:rPr>
        <w:t xml:space="preserve"> Instructors may choose to </w:t>
      </w:r>
      <w:r>
        <w:rPr>
          <w:rFonts w:ascii="Century Schoolbook" w:hAnsi="Century Schoolbook"/>
        </w:rPr>
        <w:t xml:space="preserve">cover </w:t>
      </w:r>
      <w:r w:rsidRPr="008B4922">
        <w:rPr>
          <w:rFonts w:ascii="Century Schoolbook" w:hAnsi="Century Schoolbook"/>
          <w:i/>
        </w:rPr>
        <w:t>Matter of A-B-</w:t>
      </w:r>
      <w:r w:rsidRPr="008B4922">
        <w:rPr>
          <w:rFonts w:ascii="Century Schoolbook" w:hAnsi="Century Schoolbook"/>
        </w:rPr>
        <w:t xml:space="preserve"> </w:t>
      </w:r>
      <w:r>
        <w:rPr>
          <w:rFonts w:ascii="Century Schoolbook" w:hAnsi="Century Schoolbook"/>
        </w:rPr>
        <w:t xml:space="preserve">here because it addresses not just domestic violence cases, but also gang violence cases and membership in a particular social group more broadly. </w:t>
      </w:r>
    </w:p>
  </w:footnote>
  <w:footnote w:id="15">
    <w:p w14:paraId="221E11A2" w14:textId="0394E10B" w:rsidR="00E81F48" w:rsidRPr="00DA2A7D" w:rsidRDefault="00E81F48" w:rsidP="00DA2A7D">
      <w:pPr>
        <w:pStyle w:val="FootnoteText"/>
        <w:spacing w:after="120"/>
        <w:ind w:firstLine="432"/>
        <w:jc w:val="both"/>
        <w:rPr>
          <w:rFonts w:ascii="Century Schoolbook" w:hAnsi="Century Schoolbook"/>
          <w:smallCaps/>
        </w:rPr>
      </w:pPr>
      <w:r w:rsidRPr="00DA2A7D">
        <w:rPr>
          <w:rStyle w:val="FootnoteReference"/>
          <w:rFonts w:ascii="Century Schoolbook" w:hAnsi="Century Schoolbook"/>
        </w:rPr>
        <w:footnoteRef/>
      </w:r>
      <w:r w:rsidRPr="00DA2A7D">
        <w:rPr>
          <w:rFonts w:ascii="Century Schoolbook" w:hAnsi="Century Schoolbook"/>
        </w:rPr>
        <w:t xml:space="preserve"> The agency opened its first family detention center in 2001 in Berks, Pennsylvania, with a capacity of 96 women and children.</w:t>
      </w:r>
      <w:r>
        <w:rPr>
          <w:rFonts w:ascii="Century Schoolbook" w:hAnsi="Century Schoolbook"/>
        </w:rPr>
        <w:t xml:space="preserve"> </w:t>
      </w:r>
      <w:r w:rsidRPr="00DA2A7D">
        <w:rPr>
          <w:rFonts w:ascii="Century Schoolbook" w:hAnsi="Century Schoolbook"/>
        </w:rPr>
        <w:t>A second 600-bed facility, operated by the Corrections Corporation of America, opened in 2006 but closed in 2009 after intense litigation and advocacy.</w:t>
      </w:r>
      <w:r>
        <w:rPr>
          <w:rFonts w:ascii="Century Schoolbook" w:hAnsi="Century Schoolbook"/>
        </w:rPr>
        <w:t xml:space="preserve"> </w:t>
      </w:r>
      <w:r w:rsidRPr="00DA2A7D">
        <w:rPr>
          <w:rFonts w:ascii="Century Schoolbook" w:hAnsi="Century Schoolbook"/>
          <w:i/>
        </w:rPr>
        <w:t xml:space="preserve">See </w:t>
      </w:r>
      <w:r w:rsidRPr="00DA2A7D">
        <w:rPr>
          <w:rFonts w:ascii="Century Schoolbook" w:hAnsi="Century Schoolbook"/>
        </w:rPr>
        <w:t xml:space="preserve">Nina Bernstein, </w:t>
      </w:r>
      <w:r w:rsidRPr="00DA2A7D">
        <w:rPr>
          <w:rFonts w:ascii="Century Schoolbook" w:hAnsi="Century Schoolbook"/>
          <w:i/>
          <w:iCs/>
          <w:color w:val="262626"/>
        </w:rPr>
        <w:t xml:space="preserve">U.S. to Reform Policy on Detention for Immigrants, </w:t>
      </w:r>
      <w:r w:rsidRPr="00DA2A7D">
        <w:rPr>
          <w:rFonts w:ascii="Century Schoolbook" w:hAnsi="Century Schoolbook"/>
          <w:iCs/>
          <w:smallCaps/>
          <w:color w:val="262626"/>
        </w:rPr>
        <w:t xml:space="preserve">N.Y. Times, </w:t>
      </w:r>
      <w:r w:rsidRPr="00DA2A7D">
        <w:rPr>
          <w:rFonts w:ascii="Century Schoolbook" w:hAnsi="Century Schoolbook"/>
          <w:color w:val="262626"/>
        </w:rPr>
        <w:t xml:space="preserve">Aug. </w:t>
      </w:r>
      <w:r w:rsidRPr="00DA2A7D">
        <w:rPr>
          <w:rFonts w:ascii="Century Schoolbook" w:hAnsi="Century Schoolbook"/>
          <w:iCs/>
          <w:smallCaps/>
          <w:color w:val="262626"/>
        </w:rPr>
        <w:t>5, 2009.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A195E" w14:textId="5C0E7BA4" w:rsidR="00E81F48" w:rsidRPr="00B15B95" w:rsidRDefault="00E81F48" w:rsidP="00792528">
    <w:pPr>
      <w:spacing w:after="0" w:line="240" w:lineRule="auto"/>
      <w:jc w:val="center"/>
      <w:rPr>
        <w:rFonts w:ascii="Century Schoolbook" w:hAnsi="Century Schoolbook"/>
        <w:sz w:val="20"/>
        <w:szCs w:val="20"/>
      </w:rPr>
    </w:pPr>
    <w:r>
      <w:rPr>
        <w:rFonts w:ascii="Century Schoolbook" w:hAnsi="Century Schoolbook"/>
        <w:sz w:val="20"/>
        <w:szCs w:val="20"/>
      </w:rPr>
      <w:t>Fall 2</w:t>
    </w:r>
    <w:r w:rsidRPr="00B15B95">
      <w:rPr>
        <w:rFonts w:ascii="Century Schoolbook" w:hAnsi="Century Schoolbook"/>
        <w:sz w:val="20"/>
        <w:szCs w:val="20"/>
      </w:rPr>
      <w:t>01</w:t>
    </w:r>
    <w:r>
      <w:rPr>
        <w:rFonts w:ascii="Century Schoolbook" w:hAnsi="Century Schoolbook"/>
        <w:sz w:val="20"/>
        <w:szCs w:val="20"/>
      </w:rPr>
      <w:t>9</w:t>
    </w:r>
    <w:r w:rsidRPr="00B15B95">
      <w:rPr>
        <w:rFonts w:ascii="Century Schoolbook" w:hAnsi="Century Schoolbook"/>
        <w:sz w:val="20"/>
        <w:szCs w:val="20"/>
      </w:rPr>
      <w:t xml:space="preserve"> Update</w:t>
    </w:r>
    <w:r>
      <w:rPr>
        <w:rFonts w:ascii="Century Schoolbook" w:hAnsi="Century Schoolbook"/>
        <w:sz w:val="20"/>
        <w:szCs w:val="20"/>
      </w:rPr>
      <w:t xml:space="preserve"> to</w:t>
    </w:r>
    <w:r w:rsidRPr="00B15B95">
      <w:rPr>
        <w:rFonts w:ascii="Century Schoolbook" w:hAnsi="Century Schoolbook"/>
        <w:sz w:val="20"/>
        <w:szCs w:val="20"/>
      </w:rPr>
      <w:t xml:space="preserve"> </w:t>
    </w:r>
    <w:r>
      <w:rPr>
        <w:rFonts w:ascii="Century Schoolbook" w:hAnsi="Century Schoolbook"/>
        <w:sz w:val="20"/>
        <w:szCs w:val="20"/>
      </w:rPr>
      <w:t>FORCED MIGRATION</w:t>
    </w:r>
    <w:r w:rsidRPr="00B15B95">
      <w:rPr>
        <w:rFonts w:ascii="Century Schoolbook" w:hAnsi="Century Schoolbook"/>
        <w:sz w:val="20"/>
        <w:szCs w:val="20"/>
      </w:rPr>
      <w:t xml:space="preserve"> (</w:t>
    </w:r>
    <w:r>
      <w:rPr>
        <w:rFonts w:ascii="Century Schoolbook" w:hAnsi="Century Schoolbook"/>
        <w:sz w:val="20"/>
        <w:szCs w:val="20"/>
      </w:rPr>
      <w:t>2d</w:t>
    </w:r>
    <w:r w:rsidRPr="00B15B95">
      <w:rPr>
        <w:rFonts w:ascii="Century Schoolbook" w:hAnsi="Century Schoolbook"/>
        <w:sz w:val="20"/>
        <w:szCs w:val="20"/>
      </w:rPr>
      <w:t xml:space="preserve"> ed.)</w:t>
    </w:r>
  </w:p>
  <w:p w14:paraId="531C37CA" w14:textId="22FD446A" w:rsidR="00E81F48" w:rsidRDefault="00E81F48" w:rsidP="00792528">
    <w:pPr>
      <w:spacing w:after="0" w:line="240" w:lineRule="auto"/>
      <w:jc w:val="center"/>
    </w:pPr>
    <w:r w:rsidRPr="00B15B95">
      <w:rPr>
        <w:rFonts w:ascii="Century Schoolbook" w:hAnsi="Century Schoolbook"/>
        <w:sz w:val="20"/>
        <w:szCs w:val="20"/>
      </w:rPr>
      <w:t xml:space="preserve">By </w:t>
    </w:r>
    <w:r>
      <w:rPr>
        <w:rFonts w:ascii="Century Schoolbook" w:hAnsi="Century Schoolbook"/>
        <w:sz w:val="20"/>
        <w:szCs w:val="20"/>
      </w:rPr>
      <w:t xml:space="preserve">Martin, </w:t>
    </w:r>
    <w:r w:rsidRPr="00B15B95">
      <w:rPr>
        <w:rFonts w:ascii="Century Schoolbook" w:hAnsi="Century Schoolbook"/>
        <w:sz w:val="20"/>
        <w:szCs w:val="20"/>
      </w:rPr>
      <w:t>Aleinikoff</w:t>
    </w:r>
    <w:r>
      <w:rPr>
        <w:rFonts w:ascii="Century Schoolbook" w:hAnsi="Century Schoolbook"/>
        <w:sz w:val="20"/>
        <w:szCs w:val="20"/>
      </w:rPr>
      <w:t>,</w:t>
    </w:r>
    <w:r w:rsidRPr="00B15B95">
      <w:rPr>
        <w:rFonts w:ascii="Century Schoolbook" w:hAnsi="Century Schoolbook"/>
        <w:sz w:val="20"/>
        <w:szCs w:val="20"/>
      </w:rPr>
      <w:t xml:space="preserve"> Motomura &amp; Fullerton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B7D"/>
    <w:multiLevelType w:val="hybridMultilevel"/>
    <w:tmpl w:val="FE78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E4AB1"/>
    <w:multiLevelType w:val="hybridMultilevel"/>
    <w:tmpl w:val="567A1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C5275"/>
    <w:multiLevelType w:val="hybridMultilevel"/>
    <w:tmpl w:val="590807C8"/>
    <w:lvl w:ilvl="0" w:tplc="1122C2D4">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A67211"/>
    <w:multiLevelType w:val="hybridMultilevel"/>
    <w:tmpl w:val="B24242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9473E9"/>
    <w:multiLevelType w:val="hybridMultilevel"/>
    <w:tmpl w:val="64ACB5BA"/>
    <w:lvl w:ilvl="0" w:tplc="DEF4F11C">
      <w:start w:val="2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6469C"/>
    <w:multiLevelType w:val="hybridMultilevel"/>
    <w:tmpl w:val="5FFA9050"/>
    <w:lvl w:ilvl="0" w:tplc="124AE712">
      <w:start w:val="1"/>
      <w:numFmt w:val="decimal"/>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48558FA"/>
    <w:multiLevelType w:val="hybridMultilevel"/>
    <w:tmpl w:val="05166042"/>
    <w:lvl w:ilvl="0" w:tplc="12E063E6">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190E7480"/>
    <w:multiLevelType w:val="hybridMultilevel"/>
    <w:tmpl w:val="776E4FE0"/>
    <w:lvl w:ilvl="0" w:tplc="033C888A">
      <w:start w:val="1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01A1C"/>
    <w:multiLevelType w:val="hybridMultilevel"/>
    <w:tmpl w:val="05166042"/>
    <w:lvl w:ilvl="0" w:tplc="12E063E6">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15:restartNumberingAfterBreak="0">
    <w:nsid w:val="207F587B"/>
    <w:multiLevelType w:val="hybridMultilevel"/>
    <w:tmpl w:val="3E547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512D6"/>
    <w:multiLevelType w:val="hybridMultilevel"/>
    <w:tmpl w:val="05166042"/>
    <w:lvl w:ilvl="0" w:tplc="12E063E6">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28A75B84"/>
    <w:multiLevelType w:val="hybridMultilevel"/>
    <w:tmpl w:val="B0F0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364B6"/>
    <w:multiLevelType w:val="hybridMultilevel"/>
    <w:tmpl w:val="CE70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E7D28"/>
    <w:multiLevelType w:val="hybridMultilevel"/>
    <w:tmpl w:val="783E6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C3223"/>
    <w:multiLevelType w:val="hybridMultilevel"/>
    <w:tmpl w:val="5FA6EFA8"/>
    <w:lvl w:ilvl="0" w:tplc="1122C2D4">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E7269C"/>
    <w:multiLevelType w:val="hybridMultilevel"/>
    <w:tmpl w:val="AC64F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D1A9E"/>
    <w:multiLevelType w:val="hybridMultilevel"/>
    <w:tmpl w:val="CE227C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CE42BB"/>
    <w:multiLevelType w:val="hybridMultilevel"/>
    <w:tmpl w:val="567A1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D190B"/>
    <w:multiLevelType w:val="hybridMultilevel"/>
    <w:tmpl w:val="32B4B180"/>
    <w:lvl w:ilvl="0" w:tplc="2BEEC8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C05C4"/>
    <w:multiLevelType w:val="hybridMultilevel"/>
    <w:tmpl w:val="BE6CE5E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3E0F01B4"/>
    <w:multiLevelType w:val="multilevel"/>
    <w:tmpl w:val="08A6027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1" w15:restartNumberingAfterBreak="0">
    <w:nsid w:val="40D14469"/>
    <w:multiLevelType w:val="hybridMultilevel"/>
    <w:tmpl w:val="20105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D9678B"/>
    <w:multiLevelType w:val="hybridMultilevel"/>
    <w:tmpl w:val="E1E814A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1A3318"/>
    <w:multiLevelType w:val="hybridMultilevel"/>
    <w:tmpl w:val="05166042"/>
    <w:lvl w:ilvl="0" w:tplc="12E063E6">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4" w15:restartNumberingAfterBreak="0">
    <w:nsid w:val="4DC8373A"/>
    <w:multiLevelType w:val="hybridMultilevel"/>
    <w:tmpl w:val="AF222658"/>
    <w:lvl w:ilvl="0" w:tplc="F26255B6">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F55064"/>
    <w:multiLevelType w:val="hybridMultilevel"/>
    <w:tmpl w:val="7F707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3009EC"/>
    <w:multiLevelType w:val="hybridMultilevel"/>
    <w:tmpl w:val="DB46A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23C33"/>
    <w:multiLevelType w:val="hybridMultilevel"/>
    <w:tmpl w:val="3704192E"/>
    <w:lvl w:ilvl="0" w:tplc="337A16FC">
      <w:start w:val="1"/>
      <w:numFmt w:val="decimal"/>
      <w:lvlText w:val="%1."/>
      <w:lvlJc w:val="left"/>
      <w:pPr>
        <w:ind w:left="1112" w:hanging="68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5A426C29"/>
    <w:multiLevelType w:val="hybridMultilevel"/>
    <w:tmpl w:val="EDD4A2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98783C"/>
    <w:multiLevelType w:val="hybridMultilevel"/>
    <w:tmpl w:val="AAD65F80"/>
    <w:lvl w:ilvl="0" w:tplc="69A2DEAA">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F83E05"/>
    <w:multiLevelType w:val="hybridMultilevel"/>
    <w:tmpl w:val="05166042"/>
    <w:lvl w:ilvl="0" w:tplc="12E063E6">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1" w15:restartNumberingAfterBreak="0">
    <w:nsid w:val="6A1E6109"/>
    <w:multiLevelType w:val="hybridMultilevel"/>
    <w:tmpl w:val="B8AAC164"/>
    <w:lvl w:ilvl="0" w:tplc="1122C2D4">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8C4A0A"/>
    <w:multiLevelType w:val="hybridMultilevel"/>
    <w:tmpl w:val="263C4026"/>
    <w:lvl w:ilvl="0" w:tplc="C3BCB6E6">
      <w:start w:val="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D45AD"/>
    <w:multiLevelType w:val="hybridMultilevel"/>
    <w:tmpl w:val="A2EA9CFE"/>
    <w:lvl w:ilvl="0" w:tplc="05167562">
      <w:start w:val="1"/>
      <w:numFmt w:val="decimal"/>
      <w:lvlText w:val="%1."/>
      <w:lvlJc w:val="left"/>
      <w:pPr>
        <w:ind w:left="2160" w:hanging="360"/>
      </w:pPr>
      <w:rPr>
        <w:rFonts w:eastAsiaTheme="minorHAnsi" w:cstheme="minorBid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42A2DDE"/>
    <w:multiLevelType w:val="hybridMultilevel"/>
    <w:tmpl w:val="66343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CB1920"/>
    <w:multiLevelType w:val="hybridMultilevel"/>
    <w:tmpl w:val="05166042"/>
    <w:lvl w:ilvl="0" w:tplc="12E063E6">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6" w15:restartNumberingAfterBreak="0">
    <w:nsid w:val="7EA3169E"/>
    <w:multiLevelType w:val="hybridMultilevel"/>
    <w:tmpl w:val="05166042"/>
    <w:lvl w:ilvl="0" w:tplc="12E063E6">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32"/>
  </w:num>
  <w:num w:numId="2">
    <w:abstractNumId w:val="12"/>
  </w:num>
  <w:num w:numId="3">
    <w:abstractNumId w:val="3"/>
  </w:num>
  <w:num w:numId="4">
    <w:abstractNumId w:val="24"/>
  </w:num>
  <w:num w:numId="5">
    <w:abstractNumId w:val="19"/>
  </w:num>
  <w:num w:numId="6">
    <w:abstractNumId w:val="7"/>
  </w:num>
  <w:num w:numId="7">
    <w:abstractNumId w:val="2"/>
  </w:num>
  <w:num w:numId="8">
    <w:abstractNumId w:val="31"/>
  </w:num>
  <w:num w:numId="9">
    <w:abstractNumId w:val="14"/>
  </w:num>
  <w:num w:numId="10">
    <w:abstractNumId w:val="9"/>
  </w:num>
  <w:num w:numId="11">
    <w:abstractNumId w:val="15"/>
  </w:num>
  <w:num w:numId="12">
    <w:abstractNumId w:val="11"/>
  </w:num>
  <w:num w:numId="13">
    <w:abstractNumId w:val="16"/>
  </w:num>
  <w:num w:numId="14">
    <w:abstractNumId w:val="26"/>
  </w:num>
  <w:num w:numId="15">
    <w:abstractNumId w:val="0"/>
  </w:num>
  <w:num w:numId="16">
    <w:abstractNumId w:val="34"/>
  </w:num>
  <w:num w:numId="17">
    <w:abstractNumId w:val="29"/>
  </w:num>
  <w:num w:numId="18">
    <w:abstractNumId w:val="18"/>
  </w:num>
  <w:num w:numId="19">
    <w:abstractNumId w:val="23"/>
  </w:num>
  <w:num w:numId="20">
    <w:abstractNumId w:val="30"/>
  </w:num>
  <w:num w:numId="21">
    <w:abstractNumId w:val="36"/>
  </w:num>
  <w:num w:numId="22">
    <w:abstractNumId w:val="6"/>
  </w:num>
  <w:num w:numId="23">
    <w:abstractNumId w:val="10"/>
  </w:num>
  <w:num w:numId="24">
    <w:abstractNumId w:val="8"/>
  </w:num>
  <w:num w:numId="25">
    <w:abstractNumId w:val="35"/>
  </w:num>
  <w:num w:numId="26">
    <w:abstractNumId w:val="4"/>
  </w:num>
  <w:num w:numId="27">
    <w:abstractNumId w:val="21"/>
  </w:num>
  <w:num w:numId="28">
    <w:abstractNumId w:val="33"/>
  </w:num>
  <w:num w:numId="29">
    <w:abstractNumId w:val="17"/>
  </w:num>
  <w:num w:numId="30">
    <w:abstractNumId w:val="1"/>
  </w:num>
  <w:num w:numId="31">
    <w:abstractNumId w:val="27"/>
  </w:num>
  <w:num w:numId="32">
    <w:abstractNumId w:val="28"/>
  </w:num>
  <w:num w:numId="33">
    <w:abstractNumId w:val="25"/>
  </w:num>
  <w:num w:numId="34">
    <w:abstractNumId w:val="22"/>
  </w:num>
  <w:num w:numId="35">
    <w:abstractNumId w:val="13"/>
  </w:num>
  <w:num w:numId="36">
    <w:abstractNumId w:val="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DF"/>
    <w:rsid w:val="00001260"/>
    <w:rsid w:val="00005FDA"/>
    <w:rsid w:val="000063D1"/>
    <w:rsid w:val="0000677C"/>
    <w:rsid w:val="000078EA"/>
    <w:rsid w:val="000120FA"/>
    <w:rsid w:val="00013360"/>
    <w:rsid w:val="00014836"/>
    <w:rsid w:val="00015681"/>
    <w:rsid w:val="00016650"/>
    <w:rsid w:val="00016A14"/>
    <w:rsid w:val="000179B0"/>
    <w:rsid w:val="0002205B"/>
    <w:rsid w:val="00022F20"/>
    <w:rsid w:val="00023B69"/>
    <w:rsid w:val="000245BB"/>
    <w:rsid w:val="00027B0C"/>
    <w:rsid w:val="0003071F"/>
    <w:rsid w:val="000308AC"/>
    <w:rsid w:val="0003112D"/>
    <w:rsid w:val="000315D8"/>
    <w:rsid w:val="00031EC1"/>
    <w:rsid w:val="00036E68"/>
    <w:rsid w:val="00044CB1"/>
    <w:rsid w:val="00044CDB"/>
    <w:rsid w:val="00044EF1"/>
    <w:rsid w:val="0004644D"/>
    <w:rsid w:val="00047B55"/>
    <w:rsid w:val="000512E0"/>
    <w:rsid w:val="00054939"/>
    <w:rsid w:val="00054E4A"/>
    <w:rsid w:val="000560AF"/>
    <w:rsid w:val="00056C5D"/>
    <w:rsid w:val="0005717C"/>
    <w:rsid w:val="00057D21"/>
    <w:rsid w:val="00060241"/>
    <w:rsid w:val="00060BC0"/>
    <w:rsid w:val="00061BC6"/>
    <w:rsid w:val="000622F0"/>
    <w:rsid w:val="0006416F"/>
    <w:rsid w:val="00065058"/>
    <w:rsid w:val="000654A2"/>
    <w:rsid w:val="00065566"/>
    <w:rsid w:val="00070403"/>
    <w:rsid w:val="00070F65"/>
    <w:rsid w:val="00071347"/>
    <w:rsid w:val="00072DC4"/>
    <w:rsid w:val="000740A6"/>
    <w:rsid w:val="00075F62"/>
    <w:rsid w:val="000778D6"/>
    <w:rsid w:val="000813E1"/>
    <w:rsid w:val="00084128"/>
    <w:rsid w:val="00084667"/>
    <w:rsid w:val="0008508E"/>
    <w:rsid w:val="000863B4"/>
    <w:rsid w:val="000902A6"/>
    <w:rsid w:val="00093894"/>
    <w:rsid w:val="00093B8D"/>
    <w:rsid w:val="0009543C"/>
    <w:rsid w:val="000A0B08"/>
    <w:rsid w:val="000A2DE5"/>
    <w:rsid w:val="000A4B8B"/>
    <w:rsid w:val="000A5237"/>
    <w:rsid w:val="000A628B"/>
    <w:rsid w:val="000B1CE8"/>
    <w:rsid w:val="000B3A24"/>
    <w:rsid w:val="000B4D68"/>
    <w:rsid w:val="000B506D"/>
    <w:rsid w:val="000B5B84"/>
    <w:rsid w:val="000B7321"/>
    <w:rsid w:val="000C0277"/>
    <w:rsid w:val="000C2206"/>
    <w:rsid w:val="000C253B"/>
    <w:rsid w:val="000C32F2"/>
    <w:rsid w:val="000C7D1C"/>
    <w:rsid w:val="000D20EE"/>
    <w:rsid w:val="000D3191"/>
    <w:rsid w:val="000D6922"/>
    <w:rsid w:val="000E14D3"/>
    <w:rsid w:val="000E161A"/>
    <w:rsid w:val="000E1E92"/>
    <w:rsid w:val="000E28EC"/>
    <w:rsid w:val="000E29DC"/>
    <w:rsid w:val="000E6823"/>
    <w:rsid w:val="000E6BA9"/>
    <w:rsid w:val="000F11EE"/>
    <w:rsid w:val="000F152A"/>
    <w:rsid w:val="000F17A7"/>
    <w:rsid w:val="000F1B54"/>
    <w:rsid w:val="000F2CF0"/>
    <w:rsid w:val="000F43CD"/>
    <w:rsid w:val="000F4D08"/>
    <w:rsid w:val="000F6BC7"/>
    <w:rsid w:val="000F7D57"/>
    <w:rsid w:val="00104763"/>
    <w:rsid w:val="00105946"/>
    <w:rsid w:val="001067AD"/>
    <w:rsid w:val="00106E3B"/>
    <w:rsid w:val="0011579E"/>
    <w:rsid w:val="00116FF7"/>
    <w:rsid w:val="00121A54"/>
    <w:rsid w:val="00122D0C"/>
    <w:rsid w:val="00125F79"/>
    <w:rsid w:val="00126F17"/>
    <w:rsid w:val="001302DF"/>
    <w:rsid w:val="00130856"/>
    <w:rsid w:val="001315FF"/>
    <w:rsid w:val="00131C34"/>
    <w:rsid w:val="0013297B"/>
    <w:rsid w:val="00133E9B"/>
    <w:rsid w:val="00134948"/>
    <w:rsid w:val="001351C4"/>
    <w:rsid w:val="001359E2"/>
    <w:rsid w:val="00135ADD"/>
    <w:rsid w:val="001368FA"/>
    <w:rsid w:val="00136D0C"/>
    <w:rsid w:val="00137E05"/>
    <w:rsid w:val="00140B68"/>
    <w:rsid w:val="00140C81"/>
    <w:rsid w:val="00141D78"/>
    <w:rsid w:val="001420F3"/>
    <w:rsid w:val="001448BF"/>
    <w:rsid w:val="00145354"/>
    <w:rsid w:val="00145F7E"/>
    <w:rsid w:val="00150DD4"/>
    <w:rsid w:val="00150F52"/>
    <w:rsid w:val="00151CA6"/>
    <w:rsid w:val="001533B0"/>
    <w:rsid w:val="001560E5"/>
    <w:rsid w:val="00156652"/>
    <w:rsid w:val="001569AC"/>
    <w:rsid w:val="001611E7"/>
    <w:rsid w:val="00162236"/>
    <w:rsid w:val="0016339B"/>
    <w:rsid w:val="00163D23"/>
    <w:rsid w:val="00164C21"/>
    <w:rsid w:val="00167202"/>
    <w:rsid w:val="00167B06"/>
    <w:rsid w:val="00170D07"/>
    <w:rsid w:val="00170E90"/>
    <w:rsid w:val="00170EDF"/>
    <w:rsid w:val="00171813"/>
    <w:rsid w:val="0017673D"/>
    <w:rsid w:val="00180C2E"/>
    <w:rsid w:val="001810CA"/>
    <w:rsid w:val="001843DF"/>
    <w:rsid w:val="00186145"/>
    <w:rsid w:val="001867B1"/>
    <w:rsid w:val="001908B5"/>
    <w:rsid w:val="00190A3C"/>
    <w:rsid w:val="00195127"/>
    <w:rsid w:val="00197862"/>
    <w:rsid w:val="001A0D5C"/>
    <w:rsid w:val="001A4BA0"/>
    <w:rsid w:val="001A52C2"/>
    <w:rsid w:val="001A735E"/>
    <w:rsid w:val="001B109C"/>
    <w:rsid w:val="001B1178"/>
    <w:rsid w:val="001B296E"/>
    <w:rsid w:val="001B2B80"/>
    <w:rsid w:val="001B2D49"/>
    <w:rsid w:val="001B37D8"/>
    <w:rsid w:val="001B5BA1"/>
    <w:rsid w:val="001B7C5E"/>
    <w:rsid w:val="001C1AC5"/>
    <w:rsid w:val="001C1B33"/>
    <w:rsid w:val="001C292B"/>
    <w:rsid w:val="001C3406"/>
    <w:rsid w:val="001C5D79"/>
    <w:rsid w:val="001C656F"/>
    <w:rsid w:val="001C7284"/>
    <w:rsid w:val="001D08FF"/>
    <w:rsid w:val="001D1D6E"/>
    <w:rsid w:val="001D3F58"/>
    <w:rsid w:val="001D4FD0"/>
    <w:rsid w:val="001D6AA5"/>
    <w:rsid w:val="001E02CF"/>
    <w:rsid w:val="001E2FAE"/>
    <w:rsid w:val="001E72A8"/>
    <w:rsid w:val="001F048F"/>
    <w:rsid w:val="001F22C3"/>
    <w:rsid w:val="001F28E6"/>
    <w:rsid w:val="001F32A0"/>
    <w:rsid w:val="001F3753"/>
    <w:rsid w:val="001F42E5"/>
    <w:rsid w:val="001F4F92"/>
    <w:rsid w:val="001F4FCE"/>
    <w:rsid w:val="001F5C69"/>
    <w:rsid w:val="001F752C"/>
    <w:rsid w:val="0020173C"/>
    <w:rsid w:val="00201C07"/>
    <w:rsid w:val="00201FB7"/>
    <w:rsid w:val="002026AF"/>
    <w:rsid w:val="00203A23"/>
    <w:rsid w:val="00204B4F"/>
    <w:rsid w:val="00204DC1"/>
    <w:rsid w:val="002053A6"/>
    <w:rsid w:val="002068D3"/>
    <w:rsid w:val="00207857"/>
    <w:rsid w:val="0021409C"/>
    <w:rsid w:val="002149E4"/>
    <w:rsid w:val="00217744"/>
    <w:rsid w:val="002262E5"/>
    <w:rsid w:val="0022740B"/>
    <w:rsid w:val="0023084E"/>
    <w:rsid w:val="002309AA"/>
    <w:rsid w:val="00230CA2"/>
    <w:rsid w:val="00231616"/>
    <w:rsid w:val="0023162F"/>
    <w:rsid w:val="00231F05"/>
    <w:rsid w:val="002320E2"/>
    <w:rsid w:val="00233C98"/>
    <w:rsid w:val="00234A6A"/>
    <w:rsid w:val="0023520A"/>
    <w:rsid w:val="00236708"/>
    <w:rsid w:val="00240142"/>
    <w:rsid w:val="002408B1"/>
    <w:rsid w:val="00240C27"/>
    <w:rsid w:val="0024247C"/>
    <w:rsid w:val="00242838"/>
    <w:rsid w:val="00242C85"/>
    <w:rsid w:val="002441A8"/>
    <w:rsid w:val="00244A09"/>
    <w:rsid w:val="00244D6A"/>
    <w:rsid w:val="00245C14"/>
    <w:rsid w:val="00246558"/>
    <w:rsid w:val="00247DFF"/>
    <w:rsid w:val="00250188"/>
    <w:rsid w:val="002504FF"/>
    <w:rsid w:val="00251145"/>
    <w:rsid w:val="0025180D"/>
    <w:rsid w:val="00252386"/>
    <w:rsid w:val="00252BA1"/>
    <w:rsid w:val="00252ED9"/>
    <w:rsid w:val="00253489"/>
    <w:rsid w:val="0025716F"/>
    <w:rsid w:val="0026069C"/>
    <w:rsid w:val="00261DF0"/>
    <w:rsid w:val="00262E37"/>
    <w:rsid w:val="00262F66"/>
    <w:rsid w:val="0026313F"/>
    <w:rsid w:val="002638D3"/>
    <w:rsid w:val="002674FE"/>
    <w:rsid w:val="00267843"/>
    <w:rsid w:val="00267A68"/>
    <w:rsid w:val="002759B6"/>
    <w:rsid w:val="00276F3D"/>
    <w:rsid w:val="00277AAB"/>
    <w:rsid w:val="00280067"/>
    <w:rsid w:val="00281E3F"/>
    <w:rsid w:val="002828B5"/>
    <w:rsid w:val="00282DC4"/>
    <w:rsid w:val="002851CF"/>
    <w:rsid w:val="00285403"/>
    <w:rsid w:val="002873CD"/>
    <w:rsid w:val="00291812"/>
    <w:rsid w:val="00293DA4"/>
    <w:rsid w:val="00294010"/>
    <w:rsid w:val="00294BB3"/>
    <w:rsid w:val="00296443"/>
    <w:rsid w:val="002975DD"/>
    <w:rsid w:val="002977D3"/>
    <w:rsid w:val="00297F2C"/>
    <w:rsid w:val="002A18B6"/>
    <w:rsid w:val="002A33BF"/>
    <w:rsid w:val="002A4763"/>
    <w:rsid w:val="002A4DAA"/>
    <w:rsid w:val="002A5A48"/>
    <w:rsid w:val="002A5BB1"/>
    <w:rsid w:val="002B060A"/>
    <w:rsid w:val="002B0FA7"/>
    <w:rsid w:val="002B365D"/>
    <w:rsid w:val="002B3A17"/>
    <w:rsid w:val="002B60F6"/>
    <w:rsid w:val="002B7301"/>
    <w:rsid w:val="002B7802"/>
    <w:rsid w:val="002B7E59"/>
    <w:rsid w:val="002C0410"/>
    <w:rsid w:val="002C3D13"/>
    <w:rsid w:val="002C616C"/>
    <w:rsid w:val="002C640C"/>
    <w:rsid w:val="002C6D60"/>
    <w:rsid w:val="002D09F5"/>
    <w:rsid w:val="002D27B1"/>
    <w:rsid w:val="002D4437"/>
    <w:rsid w:val="002E52E0"/>
    <w:rsid w:val="002E6E49"/>
    <w:rsid w:val="002F0A0B"/>
    <w:rsid w:val="002F311F"/>
    <w:rsid w:val="002F3215"/>
    <w:rsid w:val="002F4C56"/>
    <w:rsid w:val="00300DC6"/>
    <w:rsid w:val="00301AE4"/>
    <w:rsid w:val="003020FB"/>
    <w:rsid w:val="00302297"/>
    <w:rsid w:val="00303E50"/>
    <w:rsid w:val="00305277"/>
    <w:rsid w:val="003057BC"/>
    <w:rsid w:val="00306F5D"/>
    <w:rsid w:val="00307249"/>
    <w:rsid w:val="0030731E"/>
    <w:rsid w:val="00307E78"/>
    <w:rsid w:val="003104A2"/>
    <w:rsid w:val="00311C3C"/>
    <w:rsid w:val="00314336"/>
    <w:rsid w:val="0031796F"/>
    <w:rsid w:val="00324E5C"/>
    <w:rsid w:val="00325552"/>
    <w:rsid w:val="00326F4D"/>
    <w:rsid w:val="00326FEB"/>
    <w:rsid w:val="00327861"/>
    <w:rsid w:val="003304D4"/>
    <w:rsid w:val="00337854"/>
    <w:rsid w:val="00341334"/>
    <w:rsid w:val="003413BC"/>
    <w:rsid w:val="00343543"/>
    <w:rsid w:val="00343BF4"/>
    <w:rsid w:val="00343E5D"/>
    <w:rsid w:val="00351FE2"/>
    <w:rsid w:val="00354B4C"/>
    <w:rsid w:val="003561B2"/>
    <w:rsid w:val="0035633E"/>
    <w:rsid w:val="00357815"/>
    <w:rsid w:val="00357D3F"/>
    <w:rsid w:val="00361798"/>
    <w:rsid w:val="003618F9"/>
    <w:rsid w:val="00361B68"/>
    <w:rsid w:val="00362781"/>
    <w:rsid w:val="0036367F"/>
    <w:rsid w:val="0036392A"/>
    <w:rsid w:val="0036512F"/>
    <w:rsid w:val="00367700"/>
    <w:rsid w:val="00370D91"/>
    <w:rsid w:val="00370E37"/>
    <w:rsid w:val="00371087"/>
    <w:rsid w:val="00372D4A"/>
    <w:rsid w:val="003751EB"/>
    <w:rsid w:val="003755D5"/>
    <w:rsid w:val="003757FA"/>
    <w:rsid w:val="00376117"/>
    <w:rsid w:val="003765E5"/>
    <w:rsid w:val="003804CD"/>
    <w:rsid w:val="00380B35"/>
    <w:rsid w:val="003856DB"/>
    <w:rsid w:val="0038648D"/>
    <w:rsid w:val="0038732C"/>
    <w:rsid w:val="00387D35"/>
    <w:rsid w:val="00391D4E"/>
    <w:rsid w:val="00392857"/>
    <w:rsid w:val="003938F1"/>
    <w:rsid w:val="00395096"/>
    <w:rsid w:val="00395D5F"/>
    <w:rsid w:val="003969DC"/>
    <w:rsid w:val="00396F27"/>
    <w:rsid w:val="00397490"/>
    <w:rsid w:val="00397C15"/>
    <w:rsid w:val="003A08E7"/>
    <w:rsid w:val="003A22BB"/>
    <w:rsid w:val="003B2B6A"/>
    <w:rsid w:val="003B2C3A"/>
    <w:rsid w:val="003B31BB"/>
    <w:rsid w:val="003B53DA"/>
    <w:rsid w:val="003B7660"/>
    <w:rsid w:val="003C2213"/>
    <w:rsid w:val="003C2225"/>
    <w:rsid w:val="003C3EB0"/>
    <w:rsid w:val="003C4385"/>
    <w:rsid w:val="003C61CF"/>
    <w:rsid w:val="003C7041"/>
    <w:rsid w:val="003C7385"/>
    <w:rsid w:val="003D0C4D"/>
    <w:rsid w:val="003D0DB6"/>
    <w:rsid w:val="003D15E5"/>
    <w:rsid w:val="003D24CD"/>
    <w:rsid w:val="003D260C"/>
    <w:rsid w:val="003D301E"/>
    <w:rsid w:val="003D546B"/>
    <w:rsid w:val="003D7DE1"/>
    <w:rsid w:val="003E02E9"/>
    <w:rsid w:val="003E078D"/>
    <w:rsid w:val="003E1DF7"/>
    <w:rsid w:val="003E5DA4"/>
    <w:rsid w:val="003E68E8"/>
    <w:rsid w:val="003E7B3C"/>
    <w:rsid w:val="003F176F"/>
    <w:rsid w:val="003F1A94"/>
    <w:rsid w:val="003F248C"/>
    <w:rsid w:val="003F3235"/>
    <w:rsid w:val="003F4953"/>
    <w:rsid w:val="003F5633"/>
    <w:rsid w:val="003F61CD"/>
    <w:rsid w:val="00402146"/>
    <w:rsid w:val="00402D48"/>
    <w:rsid w:val="00403F65"/>
    <w:rsid w:val="0040478D"/>
    <w:rsid w:val="00405040"/>
    <w:rsid w:val="004053A2"/>
    <w:rsid w:val="004067B3"/>
    <w:rsid w:val="00406895"/>
    <w:rsid w:val="00410673"/>
    <w:rsid w:val="00411EFB"/>
    <w:rsid w:val="004120EE"/>
    <w:rsid w:val="00413AF2"/>
    <w:rsid w:val="00415242"/>
    <w:rsid w:val="0041594F"/>
    <w:rsid w:val="00417F6E"/>
    <w:rsid w:val="004205E8"/>
    <w:rsid w:val="00420721"/>
    <w:rsid w:val="00421A5E"/>
    <w:rsid w:val="00421CB2"/>
    <w:rsid w:val="0042244C"/>
    <w:rsid w:val="00430D88"/>
    <w:rsid w:val="00431DEB"/>
    <w:rsid w:val="004322FF"/>
    <w:rsid w:val="00432A80"/>
    <w:rsid w:val="00434069"/>
    <w:rsid w:val="004373AB"/>
    <w:rsid w:val="004401FF"/>
    <w:rsid w:val="00441078"/>
    <w:rsid w:val="00443072"/>
    <w:rsid w:val="00444655"/>
    <w:rsid w:val="00444EE8"/>
    <w:rsid w:val="00445522"/>
    <w:rsid w:val="0044595D"/>
    <w:rsid w:val="00446678"/>
    <w:rsid w:val="004502DA"/>
    <w:rsid w:val="00452344"/>
    <w:rsid w:val="004528F6"/>
    <w:rsid w:val="004539BC"/>
    <w:rsid w:val="00453B79"/>
    <w:rsid w:val="004549A0"/>
    <w:rsid w:val="004558EA"/>
    <w:rsid w:val="00455B42"/>
    <w:rsid w:val="004563B3"/>
    <w:rsid w:val="00461BB6"/>
    <w:rsid w:val="00463777"/>
    <w:rsid w:val="00463F84"/>
    <w:rsid w:val="00465E3F"/>
    <w:rsid w:val="004668D1"/>
    <w:rsid w:val="00467456"/>
    <w:rsid w:val="004677B9"/>
    <w:rsid w:val="00470C15"/>
    <w:rsid w:val="00473FC8"/>
    <w:rsid w:val="004741D3"/>
    <w:rsid w:val="004762A1"/>
    <w:rsid w:val="00477E31"/>
    <w:rsid w:val="0048092E"/>
    <w:rsid w:val="004816AD"/>
    <w:rsid w:val="00483222"/>
    <w:rsid w:val="0048426C"/>
    <w:rsid w:val="00484496"/>
    <w:rsid w:val="004869A8"/>
    <w:rsid w:val="00487055"/>
    <w:rsid w:val="0049063B"/>
    <w:rsid w:val="00491374"/>
    <w:rsid w:val="00491DC4"/>
    <w:rsid w:val="00492012"/>
    <w:rsid w:val="004964CD"/>
    <w:rsid w:val="00497150"/>
    <w:rsid w:val="004A04E7"/>
    <w:rsid w:val="004A1284"/>
    <w:rsid w:val="004A17A1"/>
    <w:rsid w:val="004A23E6"/>
    <w:rsid w:val="004A2A32"/>
    <w:rsid w:val="004A3508"/>
    <w:rsid w:val="004A5031"/>
    <w:rsid w:val="004A6276"/>
    <w:rsid w:val="004A7684"/>
    <w:rsid w:val="004A7D02"/>
    <w:rsid w:val="004B05A0"/>
    <w:rsid w:val="004B3051"/>
    <w:rsid w:val="004B3082"/>
    <w:rsid w:val="004B5BFE"/>
    <w:rsid w:val="004B7522"/>
    <w:rsid w:val="004C2558"/>
    <w:rsid w:val="004C4113"/>
    <w:rsid w:val="004C48B6"/>
    <w:rsid w:val="004C7BF6"/>
    <w:rsid w:val="004D1A48"/>
    <w:rsid w:val="004D2C9B"/>
    <w:rsid w:val="004D4C89"/>
    <w:rsid w:val="004D63CC"/>
    <w:rsid w:val="004D66B8"/>
    <w:rsid w:val="004E0E9A"/>
    <w:rsid w:val="004E1571"/>
    <w:rsid w:val="004E15FB"/>
    <w:rsid w:val="004E3D27"/>
    <w:rsid w:val="004E5035"/>
    <w:rsid w:val="004E5C4F"/>
    <w:rsid w:val="004E7B6E"/>
    <w:rsid w:val="004F152B"/>
    <w:rsid w:val="004F2740"/>
    <w:rsid w:val="004F3603"/>
    <w:rsid w:val="004F38C9"/>
    <w:rsid w:val="004F3B3D"/>
    <w:rsid w:val="004F56F8"/>
    <w:rsid w:val="004F6BA8"/>
    <w:rsid w:val="00501C85"/>
    <w:rsid w:val="00502546"/>
    <w:rsid w:val="00502834"/>
    <w:rsid w:val="00505664"/>
    <w:rsid w:val="00506D9E"/>
    <w:rsid w:val="005103A9"/>
    <w:rsid w:val="00510EFB"/>
    <w:rsid w:val="005121B6"/>
    <w:rsid w:val="00512CA9"/>
    <w:rsid w:val="0051304C"/>
    <w:rsid w:val="005140E8"/>
    <w:rsid w:val="00514AC2"/>
    <w:rsid w:val="0051503F"/>
    <w:rsid w:val="00515AB2"/>
    <w:rsid w:val="00516CBB"/>
    <w:rsid w:val="0051785F"/>
    <w:rsid w:val="00517E9A"/>
    <w:rsid w:val="00521658"/>
    <w:rsid w:val="00521BDA"/>
    <w:rsid w:val="00522164"/>
    <w:rsid w:val="00522876"/>
    <w:rsid w:val="00522F50"/>
    <w:rsid w:val="005237B5"/>
    <w:rsid w:val="00524999"/>
    <w:rsid w:val="00526031"/>
    <w:rsid w:val="005318DC"/>
    <w:rsid w:val="00531B71"/>
    <w:rsid w:val="00532046"/>
    <w:rsid w:val="00532085"/>
    <w:rsid w:val="00532E78"/>
    <w:rsid w:val="00533710"/>
    <w:rsid w:val="00534F69"/>
    <w:rsid w:val="00536CBA"/>
    <w:rsid w:val="00542AE0"/>
    <w:rsid w:val="00543F6F"/>
    <w:rsid w:val="00544384"/>
    <w:rsid w:val="00550964"/>
    <w:rsid w:val="00550E99"/>
    <w:rsid w:val="005533FA"/>
    <w:rsid w:val="00554532"/>
    <w:rsid w:val="00555C32"/>
    <w:rsid w:val="0056016A"/>
    <w:rsid w:val="00560A4C"/>
    <w:rsid w:val="0056164E"/>
    <w:rsid w:val="00570E22"/>
    <w:rsid w:val="00570E89"/>
    <w:rsid w:val="00571B13"/>
    <w:rsid w:val="00572139"/>
    <w:rsid w:val="005722E9"/>
    <w:rsid w:val="00574200"/>
    <w:rsid w:val="00575BFD"/>
    <w:rsid w:val="00576DD0"/>
    <w:rsid w:val="005775BD"/>
    <w:rsid w:val="0057762A"/>
    <w:rsid w:val="00584F1C"/>
    <w:rsid w:val="0058731E"/>
    <w:rsid w:val="00590974"/>
    <w:rsid w:val="00591686"/>
    <w:rsid w:val="0059262A"/>
    <w:rsid w:val="00592FF9"/>
    <w:rsid w:val="0059345F"/>
    <w:rsid w:val="00596A47"/>
    <w:rsid w:val="00597084"/>
    <w:rsid w:val="00597986"/>
    <w:rsid w:val="00597C53"/>
    <w:rsid w:val="005A0490"/>
    <w:rsid w:val="005A1843"/>
    <w:rsid w:val="005A1A9E"/>
    <w:rsid w:val="005A1D28"/>
    <w:rsid w:val="005A47F9"/>
    <w:rsid w:val="005A4CD9"/>
    <w:rsid w:val="005A72BF"/>
    <w:rsid w:val="005A74DB"/>
    <w:rsid w:val="005A76A6"/>
    <w:rsid w:val="005A78AC"/>
    <w:rsid w:val="005B0AE7"/>
    <w:rsid w:val="005B104F"/>
    <w:rsid w:val="005B1171"/>
    <w:rsid w:val="005B1963"/>
    <w:rsid w:val="005B2DD6"/>
    <w:rsid w:val="005B3FE7"/>
    <w:rsid w:val="005B65BC"/>
    <w:rsid w:val="005B7B7C"/>
    <w:rsid w:val="005C0509"/>
    <w:rsid w:val="005C0E6B"/>
    <w:rsid w:val="005C282A"/>
    <w:rsid w:val="005C3F98"/>
    <w:rsid w:val="005C4C9C"/>
    <w:rsid w:val="005C5084"/>
    <w:rsid w:val="005C5EA7"/>
    <w:rsid w:val="005C5F9D"/>
    <w:rsid w:val="005C6AA2"/>
    <w:rsid w:val="005C75B4"/>
    <w:rsid w:val="005D10F8"/>
    <w:rsid w:val="005D2203"/>
    <w:rsid w:val="005D570D"/>
    <w:rsid w:val="005D6DC6"/>
    <w:rsid w:val="005D7D69"/>
    <w:rsid w:val="005D7EE7"/>
    <w:rsid w:val="005E0E25"/>
    <w:rsid w:val="005E186F"/>
    <w:rsid w:val="005E22AD"/>
    <w:rsid w:val="005E25C3"/>
    <w:rsid w:val="005E4536"/>
    <w:rsid w:val="005E4960"/>
    <w:rsid w:val="005E5213"/>
    <w:rsid w:val="005E63E8"/>
    <w:rsid w:val="005E7732"/>
    <w:rsid w:val="005F17E5"/>
    <w:rsid w:val="005F5FE1"/>
    <w:rsid w:val="005F61A7"/>
    <w:rsid w:val="005F6F79"/>
    <w:rsid w:val="005F70BE"/>
    <w:rsid w:val="005F75EE"/>
    <w:rsid w:val="005F773C"/>
    <w:rsid w:val="005F7C96"/>
    <w:rsid w:val="00600B97"/>
    <w:rsid w:val="00600EFF"/>
    <w:rsid w:val="00602595"/>
    <w:rsid w:val="00602F8F"/>
    <w:rsid w:val="00610692"/>
    <w:rsid w:val="00615BB7"/>
    <w:rsid w:val="00620338"/>
    <w:rsid w:val="00626290"/>
    <w:rsid w:val="00626A8E"/>
    <w:rsid w:val="00626EDD"/>
    <w:rsid w:val="00627FDC"/>
    <w:rsid w:val="00632154"/>
    <w:rsid w:val="006326B6"/>
    <w:rsid w:val="00633839"/>
    <w:rsid w:val="0063484C"/>
    <w:rsid w:val="006353FA"/>
    <w:rsid w:val="00635EA9"/>
    <w:rsid w:val="006378CB"/>
    <w:rsid w:val="006404DF"/>
    <w:rsid w:val="00640CF6"/>
    <w:rsid w:val="006410EE"/>
    <w:rsid w:val="006441C3"/>
    <w:rsid w:val="0064683D"/>
    <w:rsid w:val="00650613"/>
    <w:rsid w:val="00651BC0"/>
    <w:rsid w:val="00651C90"/>
    <w:rsid w:val="006523AC"/>
    <w:rsid w:val="0065259C"/>
    <w:rsid w:val="00653854"/>
    <w:rsid w:val="00656074"/>
    <w:rsid w:val="00657D73"/>
    <w:rsid w:val="00661586"/>
    <w:rsid w:val="00661AD1"/>
    <w:rsid w:val="00661EA8"/>
    <w:rsid w:val="00663435"/>
    <w:rsid w:val="006667EE"/>
    <w:rsid w:val="00666E84"/>
    <w:rsid w:val="00666F03"/>
    <w:rsid w:val="006709B4"/>
    <w:rsid w:val="0067196B"/>
    <w:rsid w:val="00671EE6"/>
    <w:rsid w:val="00671FA6"/>
    <w:rsid w:val="00673905"/>
    <w:rsid w:val="00675151"/>
    <w:rsid w:val="00675A6B"/>
    <w:rsid w:val="00676C0A"/>
    <w:rsid w:val="006857D4"/>
    <w:rsid w:val="00686536"/>
    <w:rsid w:val="0068766A"/>
    <w:rsid w:val="00687D0C"/>
    <w:rsid w:val="00692588"/>
    <w:rsid w:val="00692D07"/>
    <w:rsid w:val="00693594"/>
    <w:rsid w:val="00696EB1"/>
    <w:rsid w:val="00697144"/>
    <w:rsid w:val="00697FED"/>
    <w:rsid w:val="006A0DB4"/>
    <w:rsid w:val="006A16CC"/>
    <w:rsid w:val="006A1A1B"/>
    <w:rsid w:val="006A3169"/>
    <w:rsid w:val="006A46FA"/>
    <w:rsid w:val="006A627F"/>
    <w:rsid w:val="006A66AB"/>
    <w:rsid w:val="006A6A6F"/>
    <w:rsid w:val="006A71ED"/>
    <w:rsid w:val="006A79AE"/>
    <w:rsid w:val="006A7BAF"/>
    <w:rsid w:val="006B2517"/>
    <w:rsid w:val="006B2AB1"/>
    <w:rsid w:val="006B314D"/>
    <w:rsid w:val="006B4ABB"/>
    <w:rsid w:val="006B4C0E"/>
    <w:rsid w:val="006B54B2"/>
    <w:rsid w:val="006B5F95"/>
    <w:rsid w:val="006B62B2"/>
    <w:rsid w:val="006B7302"/>
    <w:rsid w:val="006C0209"/>
    <w:rsid w:val="006C066C"/>
    <w:rsid w:val="006C07C1"/>
    <w:rsid w:val="006C20B8"/>
    <w:rsid w:val="006C27CF"/>
    <w:rsid w:val="006C3C3B"/>
    <w:rsid w:val="006C4D28"/>
    <w:rsid w:val="006C53C7"/>
    <w:rsid w:val="006C5BA7"/>
    <w:rsid w:val="006C5D3C"/>
    <w:rsid w:val="006C5EC6"/>
    <w:rsid w:val="006C7985"/>
    <w:rsid w:val="006C7A44"/>
    <w:rsid w:val="006C7D53"/>
    <w:rsid w:val="006D0E8D"/>
    <w:rsid w:val="006D6223"/>
    <w:rsid w:val="006D6269"/>
    <w:rsid w:val="006D6611"/>
    <w:rsid w:val="006E005B"/>
    <w:rsid w:val="006E14CB"/>
    <w:rsid w:val="006E1835"/>
    <w:rsid w:val="006E1886"/>
    <w:rsid w:val="006E2DD3"/>
    <w:rsid w:val="006E2E61"/>
    <w:rsid w:val="006E3CE2"/>
    <w:rsid w:val="006E444E"/>
    <w:rsid w:val="006E4C5A"/>
    <w:rsid w:val="006E59AB"/>
    <w:rsid w:val="006E64C8"/>
    <w:rsid w:val="006E6E14"/>
    <w:rsid w:val="006E75D3"/>
    <w:rsid w:val="006E7AA6"/>
    <w:rsid w:val="006F2C4F"/>
    <w:rsid w:val="006F36CA"/>
    <w:rsid w:val="006F481A"/>
    <w:rsid w:val="006F518A"/>
    <w:rsid w:val="006F6BEB"/>
    <w:rsid w:val="006F79F9"/>
    <w:rsid w:val="007000F9"/>
    <w:rsid w:val="00701417"/>
    <w:rsid w:val="0070223E"/>
    <w:rsid w:val="0070257A"/>
    <w:rsid w:val="00704121"/>
    <w:rsid w:val="00705413"/>
    <w:rsid w:val="007077EF"/>
    <w:rsid w:val="00713CA6"/>
    <w:rsid w:val="00716FD6"/>
    <w:rsid w:val="00720A83"/>
    <w:rsid w:val="00721F40"/>
    <w:rsid w:val="0072201B"/>
    <w:rsid w:val="00724341"/>
    <w:rsid w:val="0072590C"/>
    <w:rsid w:val="00725B0D"/>
    <w:rsid w:val="0072688F"/>
    <w:rsid w:val="0072712E"/>
    <w:rsid w:val="00730A4B"/>
    <w:rsid w:val="00732527"/>
    <w:rsid w:val="00733EBF"/>
    <w:rsid w:val="00733FCB"/>
    <w:rsid w:val="007342CE"/>
    <w:rsid w:val="0073438F"/>
    <w:rsid w:val="00734DD1"/>
    <w:rsid w:val="0073658F"/>
    <w:rsid w:val="00741E34"/>
    <w:rsid w:val="00743B66"/>
    <w:rsid w:val="00745577"/>
    <w:rsid w:val="007507D2"/>
    <w:rsid w:val="00750E27"/>
    <w:rsid w:val="00751069"/>
    <w:rsid w:val="00754F2A"/>
    <w:rsid w:val="0075684D"/>
    <w:rsid w:val="00756D24"/>
    <w:rsid w:val="0075760A"/>
    <w:rsid w:val="007577AB"/>
    <w:rsid w:val="00760B89"/>
    <w:rsid w:val="00761B72"/>
    <w:rsid w:val="007622D6"/>
    <w:rsid w:val="00770E1B"/>
    <w:rsid w:val="0077139D"/>
    <w:rsid w:val="007713C7"/>
    <w:rsid w:val="007749BD"/>
    <w:rsid w:val="00774A89"/>
    <w:rsid w:val="00774EC0"/>
    <w:rsid w:val="00775AB0"/>
    <w:rsid w:val="00776763"/>
    <w:rsid w:val="0077731A"/>
    <w:rsid w:val="00780530"/>
    <w:rsid w:val="00781B28"/>
    <w:rsid w:val="007820B5"/>
    <w:rsid w:val="00782857"/>
    <w:rsid w:val="00783E6F"/>
    <w:rsid w:val="007843C5"/>
    <w:rsid w:val="00784A5B"/>
    <w:rsid w:val="007875E0"/>
    <w:rsid w:val="00787706"/>
    <w:rsid w:val="00792528"/>
    <w:rsid w:val="007925CC"/>
    <w:rsid w:val="007979CC"/>
    <w:rsid w:val="007A02CB"/>
    <w:rsid w:val="007A0E90"/>
    <w:rsid w:val="007A5A35"/>
    <w:rsid w:val="007A635B"/>
    <w:rsid w:val="007A772B"/>
    <w:rsid w:val="007B3134"/>
    <w:rsid w:val="007B568B"/>
    <w:rsid w:val="007B5D5B"/>
    <w:rsid w:val="007B777C"/>
    <w:rsid w:val="007C115D"/>
    <w:rsid w:val="007C1B88"/>
    <w:rsid w:val="007C265C"/>
    <w:rsid w:val="007C292F"/>
    <w:rsid w:val="007C4C8E"/>
    <w:rsid w:val="007C533B"/>
    <w:rsid w:val="007C59A4"/>
    <w:rsid w:val="007C5F02"/>
    <w:rsid w:val="007C7E0A"/>
    <w:rsid w:val="007D0EA4"/>
    <w:rsid w:val="007D1416"/>
    <w:rsid w:val="007D1BD9"/>
    <w:rsid w:val="007D2436"/>
    <w:rsid w:val="007D351C"/>
    <w:rsid w:val="007D6289"/>
    <w:rsid w:val="007D6A0C"/>
    <w:rsid w:val="007D6FF3"/>
    <w:rsid w:val="007D7985"/>
    <w:rsid w:val="007D7E9A"/>
    <w:rsid w:val="007E0145"/>
    <w:rsid w:val="007E0E34"/>
    <w:rsid w:val="007E12F0"/>
    <w:rsid w:val="007E1F5A"/>
    <w:rsid w:val="007E28E2"/>
    <w:rsid w:val="007E3944"/>
    <w:rsid w:val="007E3C1C"/>
    <w:rsid w:val="007E4B81"/>
    <w:rsid w:val="007E5058"/>
    <w:rsid w:val="007E5CF7"/>
    <w:rsid w:val="007E7559"/>
    <w:rsid w:val="007E7719"/>
    <w:rsid w:val="007F0469"/>
    <w:rsid w:val="007F331A"/>
    <w:rsid w:val="007F34E8"/>
    <w:rsid w:val="007F376E"/>
    <w:rsid w:val="007F4206"/>
    <w:rsid w:val="007F763D"/>
    <w:rsid w:val="00803916"/>
    <w:rsid w:val="008044F4"/>
    <w:rsid w:val="00805B99"/>
    <w:rsid w:val="00806076"/>
    <w:rsid w:val="0080681F"/>
    <w:rsid w:val="00810FDA"/>
    <w:rsid w:val="00811141"/>
    <w:rsid w:val="00812AD1"/>
    <w:rsid w:val="00815375"/>
    <w:rsid w:val="008158D7"/>
    <w:rsid w:val="00815DF4"/>
    <w:rsid w:val="00815EC4"/>
    <w:rsid w:val="00816FC5"/>
    <w:rsid w:val="0081717C"/>
    <w:rsid w:val="00817240"/>
    <w:rsid w:val="00817B42"/>
    <w:rsid w:val="0082072A"/>
    <w:rsid w:val="00820CA3"/>
    <w:rsid w:val="008211F2"/>
    <w:rsid w:val="00823609"/>
    <w:rsid w:val="00823F9E"/>
    <w:rsid w:val="00823FDD"/>
    <w:rsid w:val="00824233"/>
    <w:rsid w:val="0082616C"/>
    <w:rsid w:val="00827AFF"/>
    <w:rsid w:val="00827E6D"/>
    <w:rsid w:val="00830BFD"/>
    <w:rsid w:val="008313C1"/>
    <w:rsid w:val="008314A6"/>
    <w:rsid w:val="00831EB5"/>
    <w:rsid w:val="00831F3B"/>
    <w:rsid w:val="00831F4E"/>
    <w:rsid w:val="0083307F"/>
    <w:rsid w:val="00833A14"/>
    <w:rsid w:val="00834DD2"/>
    <w:rsid w:val="00837108"/>
    <w:rsid w:val="008374CF"/>
    <w:rsid w:val="00840582"/>
    <w:rsid w:val="0084104B"/>
    <w:rsid w:val="008428B0"/>
    <w:rsid w:val="008433C9"/>
    <w:rsid w:val="00843DB0"/>
    <w:rsid w:val="00844AA7"/>
    <w:rsid w:val="0084570D"/>
    <w:rsid w:val="00847276"/>
    <w:rsid w:val="008475DE"/>
    <w:rsid w:val="00847722"/>
    <w:rsid w:val="0085722A"/>
    <w:rsid w:val="00860342"/>
    <w:rsid w:val="00861399"/>
    <w:rsid w:val="0086139F"/>
    <w:rsid w:val="008613ED"/>
    <w:rsid w:val="00861659"/>
    <w:rsid w:val="00861C13"/>
    <w:rsid w:val="0086309F"/>
    <w:rsid w:val="00864940"/>
    <w:rsid w:val="00866FB1"/>
    <w:rsid w:val="00871305"/>
    <w:rsid w:val="00875D06"/>
    <w:rsid w:val="00877920"/>
    <w:rsid w:val="00877B77"/>
    <w:rsid w:val="008806E0"/>
    <w:rsid w:val="008820A4"/>
    <w:rsid w:val="008842F6"/>
    <w:rsid w:val="008869A9"/>
    <w:rsid w:val="00886D1E"/>
    <w:rsid w:val="0088747E"/>
    <w:rsid w:val="0088751C"/>
    <w:rsid w:val="008904DB"/>
    <w:rsid w:val="008948E3"/>
    <w:rsid w:val="0089533F"/>
    <w:rsid w:val="00896746"/>
    <w:rsid w:val="00896D76"/>
    <w:rsid w:val="00896ECF"/>
    <w:rsid w:val="0089739D"/>
    <w:rsid w:val="008A1D19"/>
    <w:rsid w:val="008A1F62"/>
    <w:rsid w:val="008A5C34"/>
    <w:rsid w:val="008B1A4D"/>
    <w:rsid w:val="008B2FAB"/>
    <w:rsid w:val="008B6276"/>
    <w:rsid w:val="008C02D1"/>
    <w:rsid w:val="008C132A"/>
    <w:rsid w:val="008C1FD5"/>
    <w:rsid w:val="008C4124"/>
    <w:rsid w:val="008C459E"/>
    <w:rsid w:val="008C5601"/>
    <w:rsid w:val="008C6B37"/>
    <w:rsid w:val="008C7456"/>
    <w:rsid w:val="008D0B36"/>
    <w:rsid w:val="008D4DC8"/>
    <w:rsid w:val="008D670D"/>
    <w:rsid w:val="008E009B"/>
    <w:rsid w:val="008E06D2"/>
    <w:rsid w:val="008E0808"/>
    <w:rsid w:val="008E117D"/>
    <w:rsid w:val="008E16A7"/>
    <w:rsid w:val="008E2672"/>
    <w:rsid w:val="008E29ED"/>
    <w:rsid w:val="008E5F73"/>
    <w:rsid w:val="008E69E5"/>
    <w:rsid w:val="008E6BE2"/>
    <w:rsid w:val="008E6F67"/>
    <w:rsid w:val="008F05EC"/>
    <w:rsid w:val="008F2B22"/>
    <w:rsid w:val="008F2B83"/>
    <w:rsid w:val="008F49A5"/>
    <w:rsid w:val="008F7B73"/>
    <w:rsid w:val="009048D9"/>
    <w:rsid w:val="00906A9D"/>
    <w:rsid w:val="0090752D"/>
    <w:rsid w:val="009119AD"/>
    <w:rsid w:val="00912047"/>
    <w:rsid w:val="00913069"/>
    <w:rsid w:val="009130EB"/>
    <w:rsid w:val="00913258"/>
    <w:rsid w:val="009144BE"/>
    <w:rsid w:val="009144D6"/>
    <w:rsid w:val="00914C44"/>
    <w:rsid w:val="009155BE"/>
    <w:rsid w:val="00916518"/>
    <w:rsid w:val="00916B8F"/>
    <w:rsid w:val="00917372"/>
    <w:rsid w:val="009176C9"/>
    <w:rsid w:val="0092098E"/>
    <w:rsid w:val="0092238D"/>
    <w:rsid w:val="00927237"/>
    <w:rsid w:val="00933959"/>
    <w:rsid w:val="00936F3E"/>
    <w:rsid w:val="00942139"/>
    <w:rsid w:val="009432D3"/>
    <w:rsid w:val="009435CB"/>
    <w:rsid w:val="009451DA"/>
    <w:rsid w:val="009460E2"/>
    <w:rsid w:val="00946134"/>
    <w:rsid w:val="009469E0"/>
    <w:rsid w:val="009470E7"/>
    <w:rsid w:val="00947603"/>
    <w:rsid w:val="00947FBE"/>
    <w:rsid w:val="0095029A"/>
    <w:rsid w:val="00952334"/>
    <w:rsid w:val="009532A7"/>
    <w:rsid w:val="009538A6"/>
    <w:rsid w:val="009543F9"/>
    <w:rsid w:val="009559C8"/>
    <w:rsid w:val="00955F82"/>
    <w:rsid w:val="00956554"/>
    <w:rsid w:val="00956801"/>
    <w:rsid w:val="009579DA"/>
    <w:rsid w:val="00960569"/>
    <w:rsid w:val="009627AF"/>
    <w:rsid w:val="0096307F"/>
    <w:rsid w:val="00964149"/>
    <w:rsid w:val="009641F4"/>
    <w:rsid w:val="00964654"/>
    <w:rsid w:val="00964EF3"/>
    <w:rsid w:val="009705D8"/>
    <w:rsid w:val="009728FA"/>
    <w:rsid w:val="00974C7B"/>
    <w:rsid w:val="0097539C"/>
    <w:rsid w:val="0097587A"/>
    <w:rsid w:val="009759D8"/>
    <w:rsid w:val="00980498"/>
    <w:rsid w:val="00981247"/>
    <w:rsid w:val="00981FE4"/>
    <w:rsid w:val="00984186"/>
    <w:rsid w:val="00985531"/>
    <w:rsid w:val="009873A0"/>
    <w:rsid w:val="009909CC"/>
    <w:rsid w:val="00991587"/>
    <w:rsid w:val="009922B2"/>
    <w:rsid w:val="00993585"/>
    <w:rsid w:val="00993E48"/>
    <w:rsid w:val="00995B95"/>
    <w:rsid w:val="00995E55"/>
    <w:rsid w:val="009A04C1"/>
    <w:rsid w:val="009A18A4"/>
    <w:rsid w:val="009A2668"/>
    <w:rsid w:val="009A360A"/>
    <w:rsid w:val="009A38A0"/>
    <w:rsid w:val="009A6898"/>
    <w:rsid w:val="009A6C82"/>
    <w:rsid w:val="009A7145"/>
    <w:rsid w:val="009A73E2"/>
    <w:rsid w:val="009A7F0A"/>
    <w:rsid w:val="009B456E"/>
    <w:rsid w:val="009B56C6"/>
    <w:rsid w:val="009B6AFF"/>
    <w:rsid w:val="009B6DC3"/>
    <w:rsid w:val="009C1107"/>
    <w:rsid w:val="009C1810"/>
    <w:rsid w:val="009C3935"/>
    <w:rsid w:val="009C5172"/>
    <w:rsid w:val="009C59D5"/>
    <w:rsid w:val="009D0EE7"/>
    <w:rsid w:val="009D1EAA"/>
    <w:rsid w:val="009D23FB"/>
    <w:rsid w:val="009D26C5"/>
    <w:rsid w:val="009D6432"/>
    <w:rsid w:val="009E0C3F"/>
    <w:rsid w:val="009E0EAC"/>
    <w:rsid w:val="009E18CD"/>
    <w:rsid w:val="009E3EEC"/>
    <w:rsid w:val="009E4578"/>
    <w:rsid w:val="009E519B"/>
    <w:rsid w:val="009E6247"/>
    <w:rsid w:val="009E65AB"/>
    <w:rsid w:val="009E6A91"/>
    <w:rsid w:val="009E7C82"/>
    <w:rsid w:val="009F0B9D"/>
    <w:rsid w:val="009F16D6"/>
    <w:rsid w:val="009F23DE"/>
    <w:rsid w:val="009F4620"/>
    <w:rsid w:val="009F5AAA"/>
    <w:rsid w:val="00A001B5"/>
    <w:rsid w:val="00A006C4"/>
    <w:rsid w:val="00A00EAE"/>
    <w:rsid w:val="00A01050"/>
    <w:rsid w:val="00A05173"/>
    <w:rsid w:val="00A05A50"/>
    <w:rsid w:val="00A05A89"/>
    <w:rsid w:val="00A06E6B"/>
    <w:rsid w:val="00A11747"/>
    <w:rsid w:val="00A129EF"/>
    <w:rsid w:val="00A12B92"/>
    <w:rsid w:val="00A204E8"/>
    <w:rsid w:val="00A23119"/>
    <w:rsid w:val="00A2468B"/>
    <w:rsid w:val="00A26749"/>
    <w:rsid w:val="00A27D6C"/>
    <w:rsid w:val="00A3122B"/>
    <w:rsid w:val="00A3171C"/>
    <w:rsid w:val="00A32A11"/>
    <w:rsid w:val="00A34346"/>
    <w:rsid w:val="00A34E0D"/>
    <w:rsid w:val="00A35E25"/>
    <w:rsid w:val="00A36D9D"/>
    <w:rsid w:val="00A37C01"/>
    <w:rsid w:val="00A403C0"/>
    <w:rsid w:val="00A42042"/>
    <w:rsid w:val="00A4313A"/>
    <w:rsid w:val="00A44975"/>
    <w:rsid w:val="00A47781"/>
    <w:rsid w:val="00A50BD1"/>
    <w:rsid w:val="00A51917"/>
    <w:rsid w:val="00A53DAD"/>
    <w:rsid w:val="00A54A6C"/>
    <w:rsid w:val="00A573CF"/>
    <w:rsid w:val="00A6162E"/>
    <w:rsid w:val="00A6211A"/>
    <w:rsid w:val="00A62578"/>
    <w:rsid w:val="00A63855"/>
    <w:rsid w:val="00A6425F"/>
    <w:rsid w:val="00A65E2C"/>
    <w:rsid w:val="00A66824"/>
    <w:rsid w:val="00A708E8"/>
    <w:rsid w:val="00A70A46"/>
    <w:rsid w:val="00A7298D"/>
    <w:rsid w:val="00A75789"/>
    <w:rsid w:val="00A77C08"/>
    <w:rsid w:val="00A80D50"/>
    <w:rsid w:val="00A81027"/>
    <w:rsid w:val="00A8249E"/>
    <w:rsid w:val="00A82DE2"/>
    <w:rsid w:val="00A8392E"/>
    <w:rsid w:val="00A8396B"/>
    <w:rsid w:val="00A84187"/>
    <w:rsid w:val="00A84542"/>
    <w:rsid w:val="00A86A5B"/>
    <w:rsid w:val="00A86B31"/>
    <w:rsid w:val="00A90C63"/>
    <w:rsid w:val="00A92BFE"/>
    <w:rsid w:val="00A93DED"/>
    <w:rsid w:val="00AA13D5"/>
    <w:rsid w:val="00AA1A8F"/>
    <w:rsid w:val="00AA1FE9"/>
    <w:rsid w:val="00AA2971"/>
    <w:rsid w:val="00AA31B7"/>
    <w:rsid w:val="00AA4D49"/>
    <w:rsid w:val="00AA74B5"/>
    <w:rsid w:val="00AB01B0"/>
    <w:rsid w:val="00AB0271"/>
    <w:rsid w:val="00AB060D"/>
    <w:rsid w:val="00AB0CAA"/>
    <w:rsid w:val="00AB1B85"/>
    <w:rsid w:val="00AB2D16"/>
    <w:rsid w:val="00AB3C0C"/>
    <w:rsid w:val="00AB4117"/>
    <w:rsid w:val="00AB49D0"/>
    <w:rsid w:val="00AB4DCF"/>
    <w:rsid w:val="00AB66E7"/>
    <w:rsid w:val="00AB7765"/>
    <w:rsid w:val="00AC3CBE"/>
    <w:rsid w:val="00AC547F"/>
    <w:rsid w:val="00AC6C6A"/>
    <w:rsid w:val="00AC7918"/>
    <w:rsid w:val="00AC7EE4"/>
    <w:rsid w:val="00AD194A"/>
    <w:rsid w:val="00AD1EDB"/>
    <w:rsid w:val="00AD2BA7"/>
    <w:rsid w:val="00AD30DB"/>
    <w:rsid w:val="00AD36B5"/>
    <w:rsid w:val="00AD37B5"/>
    <w:rsid w:val="00AD596A"/>
    <w:rsid w:val="00AD6469"/>
    <w:rsid w:val="00AD6472"/>
    <w:rsid w:val="00AE3BD3"/>
    <w:rsid w:val="00AE65AA"/>
    <w:rsid w:val="00AF6E37"/>
    <w:rsid w:val="00AF75ED"/>
    <w:rsid w:val="00AF7ED4"/>
    <w:rsid w:val="00B0115B"/>
    <w:rsid w:val="00B01C1E"/>
    <w:rsid w:val="00B05561"/>
    <w:rsid w:val="00B073FB"/>
    <w:rsid w:val="00B07BAF"/>
    <w:rsid w:val="00B07E38"/>
    <w:rsid w:val="00B116DE"/>
    <w:rsid w:val="00B11DE8"/>
    <w:rsid w:val="00B14093"/>
    <w:rsid w:val="00B14207"/>
    <w:rsid w:val="00B14F25"/>
    <w:rsid w:val="00B15B95"/>
    <w:rsid w:val="00B20CC4"/>
    <w:rsid w:val="00B22751"/>
    <w:rsid w:val="00B22CAE"/>
    <w:rsid w:val="00B23716"/>
    <w:rsid w:val="00B25AE0"/>
    <w:rsid w:val="00B2678B"/>
    <w:rsid w:val="00B27F6D"/>
    <w:rsid w:val="00B320B4"/>
    <w:rsid w:val="00B334D5"/>
    <w:rsid w:val="00B348FB"/>
    <w:rsid w:val="00B41122"/>
    <w:rsid w:val="00B41125"/>
    <w:rsid w:val="00B41799"/>
    <w:rsid w:val="00B41D92"/>
    <w:rsid w:val="00B439EE"/>
    <w:rsid w:val="00B43C28"/>
    <w:rsid w:val="00B46054"/>
    <w:rsid w:val="00B47029"/>
    <w:rsid w:val="00B566C5"/>
    <w:rsid w:val="00B56F27"/>
    <w:rsid w:val="00B60C60"/>
    <w:rsid w:val="00B61BC6"/>
    <w:rsid w:val="00B61C8B"/>
    <w:rsid w:val="00B61FA4"/>
    <w:rsid w:val="00B634D9"/>
    <w:rsid w:val="00B63632"/>
    <w:rsid w:val="00B64163"/>
    <w:rsid w:val="00B648CA"/>
    <w:rsid w:val="00B6738C"/>
    <w:rsid w:val="00B737EC"/>
    <w:rsid w:val="00B7416B"/>
    <w:rsid w:val="00B769E4"/>
    <w:rsid w:val="00B76F07"/>
    <w:rsid w:val="00B77525"/>
    <w:rsid w:val="00B8053B"/>
    <w:rsid w:val="00B8176A"/>
    <w:rsid w:val="00B82753"/>
    <w:rsid w:val="00B827D1"/>
    <w:rsid w:val="00B82E65"/>
    <w:rsid w:val="00B831F8"/>
    <w:rsid w:val="00B84889"/>
    <w:rsid w:val="00B87AD3"/>
    <w:rsid w:val="00B92407"/>
    <w:rsid w:val="00B9269F"/>
    <w:rsid w:val="00B92B4D"/>
    <w:rsid w:val="00B9443B"/>
    <w:rsid w:val="00B95767"/>
    <w:rsid w:val="00B96050"/>
    <w:rsid w:val="00B97573"/>
    <w:rsid w:val="00B97924"/>
    <w:rsid w:val="00BA00AF"/>
    <w:rsid w:val="00BA0634"/>
    <w:rsid w:val="00BA3E66"/>
    <w:rsid w:val="00BA4244"/>
    <w:rsid w:val="00BA4C6A"/>
    <w:rsid w:val="00BB40E3"/>
    <w:rsid w:val="00BB523B"/>
    <w:rsid w:val="00BB726D"/>
    <w:rsid w:val="00BC0CBB"/>
    <w:rsid w:val="00BC20EA"/>
    <w:rsid w:val="00BC3174"/>
    <w:rsid w:val="00BC33C9"/>
    <w:rsid w:val="00BC61A6"/>
    <w:rsid w:val="00BC6F6B"/>
    <w:rsid w:val="00BC793C"/>
    <w:rsid w:val="00BC7C9D"/>
    <w:rsid w:val="00BD334E"/>
    <w:rsid w:val="00BD3848"/>
    <w:rsid w:val="00BD6025"/>
    <w:rsid w:val="00BE11D3"/>
    <w:rsid w:val="00BE1FC4"/>
    <w:rsid w:val="00BE3695"/>
    <w:rsid w:val="00BE54B1"/>
    <w:rsid w:val="00BE5A20"/>
    <w:rsid w:val="00BE6C4F"/>
    <w:rsid w:val="00BF0CAD"/>
    <w:rsid w:val="00BF172C"/>
    <w:rsid w:val="00BF2738"/>
    <w:rsid w:val="00BF5C12"/>
    <w:rsid w:val="00BF68E1"/>
    <w:rsid w:val="00BF7652"/>
    <w:rsid w:val="00BF7D19"/>
    <w:rsid w:val="00C00CE2"/>
    <w:rsid w:val="00C00DFB"/>
    <w:rsid w:val="00C01428"/>
    <w:rsid w:val="00C01DA5"/>
    <w:rsid w:val="00C02A6B"/>
    <w:rsid w:val="00C05FDF"/>
    <w:rsid w:val="00C1247B"/>
    <w:rsid w:val="00C133F3"/>
    <w:rsid w:val="00C1357F"/>
    <w:rsid w:val="00C13CE9"/>
    <w:rsid w:val="00C146B2"/>
    <w:rsid w:val="00C14BE0"/>
    <w:rsid w:val="00C16B08"/>
    <w:rsid w:val="00C208E0"/>
    <w:rsid w:val="00C20AC9"/>
    <w:rsid w:val="00C20F78"/>
    <w:rsid w:val="00C23205"/>
    <w:rsid w:val="00C2331D"/>
    <w:rsid w:val="00C241FF"/>
    <w:rsid w:val="00C26556"/>
    <w:rsid w:val="00C268D9"/>
    <w:rsid w:val="00C269CD"/>
    <w:rsid w:val="00C30069"/>
    <w:rsid w:val="00C317BC"/>
    <w:rsid w:val="00C33740"/>
    <w:rsid w:val="00C35C55"/>
    <w:rsid w:val="00C363E9"/>
    <w:rsid w:val="00C37781"/>
    <w:rsid w:val="00C42262"/>
    <w:rsid w:val="00C448F8"/>
    <w:rsid w:val="00C450A7"/>
    <w:rsid w:val="00C45F85"/>
    <w:rsid w:val="00C46BDB"/>
    <w:rsid w:val="00C47478"/>
    <w:rsid w:val="00C5280F"/>
    <w:rsid w:val="00C52D79"/>
    <w:rsid w:val="00C53C60"/>
    <w:rsid w:val="00C546AF"/>
    <w:rsid w:val="00C57D15"/>
    <w:rsid w:val="00C61D06"/>
    <w:rsid w:val="00C700AE"/>
    <w:rsid w:val="00C7293A"/>
    <w:rsid w:val="00C73834"/>
    <w:rsid w:val="00C7445A"/>
    <w:rsid w:val="00C766BC"/>
    <w:rsid w:val="00C768FB"/>
    <w:rsid w:val="00C7747E"/>
    <w:rsid w:val="00C77A88"/>
    <w:rsid w:val="00C80938"/>
    <w:rsid w:val="00C81B74"/>
    <w:rsid w:val="00C836E1"/>
    <w:rsid w:val="00C83BEC"/>
    <w:rsid w:val="00C851AA"/>
    <w:rsid w:val="00C862DB"/>
    <w:rsid w:val="00C87124"/>
    <w:rsid w:val="00C909C4"/>
    <w:rsid w:val="00C92F59"/>
    <w:rsid w:val="00C93340"/>
    <w:rsid w:val="00C96159"/>
    <w:rsid w:val="00C97565"/>
    <w:rsid w:val="00C976BA"/>
    <w:rsid w:val="00CA1BED"/>
    <w:rsid w:val="00CA21D1"/>
    <w:rsid w:val="00CA2503"/>
    <w:rsid w:val="00CA294B"/>
    <w:rsid w:val="00CA2C07"/>
    <w:rsid w:val="00CA6683"/>
    <w:rsid w:val="00CB028A"/>
    <w:rsid w:val="00CB0D5F"/>
    <w:rsid w:val="00CB1F0E"/>
    <w:rsid w:val="00CB29D0"/>
    <w:rsid w:val="00CB3033"/>
    <w:rsid w:val="00CB3B07"/>
    <w:rsid w:val="00CB3F42"/>
    <w:rsid w:val="00CB408E"/>
    <w:rsid w:val="00CB40A0"/>
    <w:rsid w:val="00CB42B7"/>
    <w:rsid w:val="00CB4DB8"/>
    <w:rsid w:val="00CB576D"/>
    <w:rsid w:val="00CB58ED"/>
    <w:rsid w:val="00CB615A"/>
    <w:rsid w:val="00CB6454"/>
    <w:rsid w:val="00CB7F34"/>
    <w:rsid w:val="00CC34EB"/>
    <w:rsid w:val="00CC650E"/>
    <w:rsid w:val="00CC6FB9"/>
    <w:rsid w:val="00CC7C75"/>
    <w:rsid w:val="00CD0E33"/>
    <w:rsid w:val="00CD3D01"/>
    <w:rsid w:val="00CD6685"/>
    <w:rsid w:val="00CD6CD7"/>
    <w:rsid w:val="00CD7E0E"/>
    <w:rsid w:val="00CE2143"/>
    <w:rsid w:val="00CE262D"/>
    <w:rsid w:val="00CE3216"/>
    <w:rsid w:val="00CE3918"/>
    <w:rsid w:val="00CE53A0"/>
    <w:rsid w:val="00CE5DD4"/>
    <w:rsid w:val="00CE7AE2"/>
    <w:rsid w:val="00CF0276"/>
    <w:rsid w:val="00CF1B7C"/>
    <w:rsid w:val="00CF1D11"/>
    <w:rsid w:val="00CF21D0"/>
    <w:rsid w:val="00CF297D"/>
    <w:rsid w:val="00CF39A4"/>
    <w:rsid w:val="00CF459B"/>
    <w:rsid w:val="00CF7C23"/>
    <w:rsid w:val="00D0034E"/>
    <w:rsid w:val="00D00D0E"/>
    <w:rsid w:val="00D028EA"/>
    <w:rsid w:val="00D03652"/>
    <w:rsid w:val="00D0377D"/>
    <w:rsid w:val="00D05D0A"/>
    <w:rsid w:val="00D06926"/>
    <w:rsid w:val="00D06957"/>
    <w:rsid w:val="00D0771C"/>
    <w:rsid w:val="00D1045A"/>
    <w:rsid w:val="00D10A3F"/>
    <w:rsid w:val="00D10D6C"/>
    <w:rsid w:val="00D11430"/>
    <w:rsid w:val="00D12C1D"/>
    <w:rsid w:val="00D12C95"/>
    <w:rsid w:val="00D16071"/>
    <w:rsid w:val="00D17426"/>
    <w:rsid w:val="00D20DFF"/>
    <w:rsid w:val="00D21B95"/>
    <w:rsid w:val="00D22155"/>
    <w:rsid w:val="00D23C0B"/>
    <w:rsid w:val="00D24F43"/>
    <w:rsid w:val="00D27B60"/>
    <w:rsid w:val="00D32611"/>
    <w:rsid w:val="00D33551"/>
    <w:rsid w:val="00D351ED"/>
    <w:rsid w:val="00D357FC"/>
    <w:rsid w:val="00D36237"/>
    <w:rsid w:val="00D37917"/>
    <w:rsid w:val="00D37E3E"/>
    <w:rsid w:val="00D4296A"/>
    <w:rsid w:val="00D469C5"/>
    <w:rsid w:val="00D47F77"/>
    <w:rsid w:val="00D50414"/>
    <w:rsid w:val="00D568B6"/>
    <w:rsid w:val="00D57386"/>
    <w:rsid w:val="00D57780"/>
    <w:rsid w:val="00D629A1"/>
    <w:rsid w:val="00D6383B"/>
    <w:rsid w:val="00D64098"/>
    <w:rsid w:val="00D64372"/>
    <w:rsid w:val="00D65D25"/>
    <w:rsid w:val="00D66A0F"/>
    <w:rsid w:val="00D704C9"/>
    <w:rsid w:val="00D735A2"/>
    <w:rsid w:val="00D7420F"/>
    <w:rsid w:val="00D77385"/>
    <w:rsid w:val="00D777B5"/>
    <w:rsid w:val="00D804BE"/>
    <w:rsid w:val="00D836DF"/>
    <w:rsid w:val="00D83A82"/>
    <w:rsid w:val="00D8436D"/>
    <w:rsid w:val="00D86BFC"/>
    <w:rsid w:val="00D87760"/>
    <w:rsid w:val="00D938C7"/>
    <w:rsid w:val="00D938DC"/>
    <w:rsid w:val="00D96558"/>
    <w:rsid w:val="00DA007B"/>
    <w:rsid w:val="00DA0244"/>
    <w:rsid w:val="00DA0601"/>
    <w:rsid w:val="00DA0D5F"/>
    <w:rsid w:val="00DA2A7D"/>
    <w:rsid w:val="00DA40AB"/>
    <w:rsid w:val="00DA4D82"/>
    <w:rsid w:val="00DA72E4"/>
    <w:rsid w:val="00DB082E"/>
    <w:rsid w:val="00DB29F7"/>
    <w:rsid w:val="00DB2E6B"/>
    <w:rsid w:val="00DB2F3A"/>
    <w:rsid w:val="00DB3BCC"/>
    <w:rsid w:val="00DB4FEC"/>
    <w:rsid w:val="00DC0E6B"/>
    <w:rsid w:val="00DC2222"/>
    <w:rsid w:val="00DC3B25"/>
    <w:rsid w:val="00DC455C"/>
    <w:rsid w:val="00DC4871"/>
    <w:rsid w:val="00DC66EB"/>
    <w:rsid w:val="00DC691D"/>
    <w:rsid w:val="00DD24FF"/>
    <w:rsid w:val="00DD3EDF"/>
    <w:rsid w:val="00DD53DB"/>
    <w:rsid w:val="00DD64C0"/>
    <w:rsid w:val="00DD6676"/>
    <w:rsid w:val="00DD671D"/>
    <w:rsid w:val="00DD6B64"/>
    <w:rsid w:val="00DD712F"/>
    <w:rsid w:val="00DD73D5"/>
    <w:rsid w:val="00DE0EFA"/>
    <w:rsid w:val="00DE0F54"/>
    <w:rsid w:val="00DE1F5E"/>
    <w:rsid w:val="00DE246A"/>
    <w:rsid w:val="00DE3DDF"/>
    <w:rsid w:val="00DE44D6"/>
    <w:rsid w:val="00DE486E"/>
    <w:rsid w:val="00DE77AD"/>
    <w:rsid w:val="00DE7A77"/>
    <w:rsid w:val="00DF297D"/>
    <w:rsid w:val="00DF4ED1"/>
    <w:rsid w:val="00DF50FF"/>
    <w:rsid w:val="00DF5F37"/>
    <w:rsid w:val="00DF7511"/>
    <w:rsid w:val="00E00952"/>
    <w:rsid w:val="00E03100"/>
    <w:rsid w:val="00E05831"/>
    <w:rsid w:val="00E10582"/>
    <w:rsid w:val="00E149ED"/>
    <w:rsid w:val="00E15393"/>
    <w:rsid w:val="00E15BF7"/>
    <w:rsid w:val="00E201AF"/>
    <w:rsid w:val="00E20F11"/>
    <w:rsid w:val="00E24BCD"/>
    <w:rsid w:val="00E253D8"/>
    <w:rsid w:val="00E269E3"/>
    <w:rsid w:val="00E26AC2"/>
    <w:rsid w:val="00E26D89"/>
    <w:rsid w:val="00E27B12"/>
    <w:rsid w:val="00E3243E"/>
    <w:rsid w:val="00E34EB3"/>
    <w:rsid w:val="00E370D6"/>
    <w:rsid w:val="00E3736B"/>
    <w:rsid w:val="00E37B3A"/>
    <w:rsid w:val="00E4111D"/>
    <w:rsid w:val="00E412FC"/>
    <w:rsid w:val="00E42CC4"/>
    <w:rsid w:val="00E42CE4"/>
    <w:rsid w:val="00E43032"/>
    <w:rsid w:val="00E430E9"/>
    <w:rsid w:val="00E464AF"/>
    <w:rsid w:val="00E466AC"/>
    <w:rsid w:val="00E46A76"/>
    <w:rsid w:val="00E50700"/>
    <w:rsid w:val="00E509CE"/>
    <w:rsid w:val="00E51CD2"/>
    <w:rsid w:val="00E53E52"/>
    <w:rsid w:val="00E557BD"/>
    <w:rsid w:val="00E639C7"/>
    <w:rsid w:val="00E64B22"/>
    <w:rsid w:val="00E67B1A"/>
    <w:rsid w:val="00E712C0"/>
    <w:rsid w:val="00E71B5A"/>
    <w:rsid w:val="00E7456C"/>
    <w:rsid w:val="00E76981"/>
    <w:rsid w:val="00E76E23"/>
    <w:rsid w:val="00E771DE"/>
    <w:rsid w:val="00E81F48"/>
    <w:rsid w:val="00E84989"/>
    <w:rsid w:val="00E86B2C"/>
    <w:rsid w:val="00E86E8E"/>
    <w:rsid w:val="00E86F8D"/>
    <w:rsid w:val="00E87A4F"/>
    <w:rsid w:val="00E87EB9"/>
    <w:rsid w:val="00E905D5"/>
    <w:rsid w:val="00E9294B"/>
    <w:rsid w:val="00E947D3"/>
    <w:rsid w:val="00E95154"/>
    <w:rsid w:val="00EA0D74"/>
    <w:rsid w:val="00EA0E9D"/>
    <w:rsid w:val="00EA12FD"/>
    <w:rsid w:val="00EA1BA7"/>
    <w:rsid w:val="00EA2C2F"/>
    <w:rsid w:val="00EA362F"/>
    <w:rsid w:val="00EA3E14"/>
    <w:rsid w:val="00EA672C"/>
    <w:rsid w:val="00EB2F1E"/>
    <w:rsid w:val="00EB379C"/>
    <w:rsid w:val="00EB50FF"/>
    <w:rsid w:val="00EB72AA"/>
    <w:rsid w:val="00EC1010"/>
    <w:rsid w:val="00EC125C"/>
    <w:rsid w:val="00EC1982"/>
    <w:rsid w:val="00EC1E92"/>
    <w:rsid w:val="00EC29B8"/>
    <w:rsid w:val="00EC2D28"/>
    <w:rsid w:val="00EC2E97"/>
    <w:rsid w:val="00EC3987"/>
    <w:rsid w:val="00EC59AD"/>
    <w:rsid w:val="00EC691B"/>
    <w:rsid w:val="00EC7C51"/>
    <w:rsid w:val="00ED21FA"/>
    <w:rsid w:val="00ED2325"/>
    <w:rsid w:val="00ED3CDF"/>
    <w:rsid w:val="00ED4550"/>
    <w:rsid w:val="00ED6A9D"/>
    <w:rsid w:val="00ED704B"/>
    <w:rsid w:val="00ED7564"/>
    <w:rsid w:val="00EE06D6"/>
    <w:rsid w:val="00EE0A99"/>
    <w:rsid w:val="00EE0E2E"/>
    <w:rsid w:val="00EE0F35"/>
    <w:rsid w:val="00EE7095"/>
    <w:rsid w:val="00EE70B2"/>
    <w:rsid w:val="00EE74D7"/>
    <w:rsid w:val="00EE7938"/>
    <w:rsid w:val="00EF2191"/>
    <w:rsid w:val="00EF3932"/>
    <w:rsid w:val="00EF4630"/>
    <w:rsid w:val="00EF4D6D"/>
    <w:rsid w:val="00EF784A"/>
    <w:rsid w:val="00F017A4"/>
    <w:rsid w:val="00F01EA8"/>
    <w:rsid w:val="00F027AF"/>
    <w:rsid w:val="00F045F7"/>
    <w:rsid w:val="00F048A8"/>
    <w:rsid w:val="00F04EAF"/>
    <w:rsid w:val="00F05996"/>
    <w:rsid w:val="00F11007"/>
    <w:rsid w:val="00F11A4C"/>
    <w:rsid w:val="00F14A25"/>
    <w:rsid w:val="00F1694D"/>
    <w:rsid w:val="00F179A2"/>
    <w:rsid w:val="00F20090"/>
    <w:rsid w:val="00F2021C"/>
    <w:rsid w:val="00F209C8"/>
    <w:rsid w:val="00F2242D"/>
    <w:rsid w:val="00F24500"/>
    <w:rsid w:val="00F248E1"/>
    <w:rsid w:val="00F26683"/>
    <w:rsid w:val="00F26DD0"/>
    <w:rsid w:val="00F30B4C"/>
    <w:rsid w:val="00F31496"/>
    <w:rsid w:val="00F31983"/>
    <w:rsid w:val="00F3416B"/>
    <w:rsid w:val="00F368DB"/>
    <w:rsid w:val="00F3697E"/>
    <w:rsid w:val="00F36C5E"/>
    <w:rsid w:val="00F3764F"/>
    <w:rsid w:val="00F41F92"/>
    <w:rsid w:val="00F42690"/>
    <w:rsid w:val="00F45AED"/>
    <w:rsid w:val="00F45BD8"/>
    <w:rsid w:val="00F4755C"/>
    <w:rsid w:val="00F47685"/>
    <w:rsid w:val="00F47C68"/>
    <w:rsid w:val="00F50FE8"/>
    <w:rsid w:val="00F510BE"/>
    <w:rsid w:val="00F52500"/>
    <w:rsid w:val="00F552C2"/>
    <w:rsid w:val="00F55D3D"/>
    <w:rsid w:val="00F604F1"/>
    <w:rsid w:val="00F60894"/>
    <w:rsid w:val="00F61343"/>
    <w:rsid w:val="00F63FD3"/>
    <w:rsid w:val="00F650D4"/>
    <w:rsid w:val="00F66E7B"/>
    <w:rsid w:val="00F70D51"/>
    <w:rsid w:val="00F70F23"/>
    <w:rsid w:val="00F74A18"/>
    <w:rsid w:val="00F751D5"/>
    <w:rsid w:val="00F75A3A"/>
    <w:rsid w:val="00F75C1E"/>
    <w:rsid w:val="00F763A1"/>
    <w:rsid w:val="00F76FB7"/>
    <w:rsid w:val="00F77381"/>
    <w:rsid w:val="00F81BD9"/>
    <w:rsid w:val="00F81E32"/>
    <w:rsid w:val="00F8209D"/>
    <w:rsid w:val="00F82A92"/>
    <w:rsid w:val="00F83FA9"/>
    <w:rsid w:val="00F85328"/>
    <w:rsid w:val="00F85EEA"/>
    <w:rsid w:val="00F86C99"/>
    <w:rsid w:val="00F91778"/>
    <w:rsid w:val="00F948BE"/>
    <w:rsid w:val="00F949C4"/>
    <w:rsid w:val="00F96D9A"/>
    <w:rsid w:val="00F973DB"/>
    <w:rsid w:val="00FA1EE4"/>
    <w:rsid w:val="00FA371F"/>
    <w:rsid w:val="00FA403D"/>
    <w:rsid w:val="00FA77ED"/>
    <w:rsid w:val="00FB0DE0"/>
    <w:rsid w:val="00FB1384"/>
    <w:rsid w:val="00FB2137"/>
    <w:rsid w:val="00FB25A3"/>
    <w:rsid w:val="00FB3D07"/>
    <w:rsid w:val="00FB4D24"/>
    <w:rsid w:val="00FB5865"/>
    <w:rsid w:val="00FC22E8"/>
    <w:rsid w:val="00FC2B2F"/>
    <w:rsid w:val="00FC62BC"/>
    <w:rsid w:val="00FC6675"/>
    <w:rsid w:val="00FC7076"/>
    <w:rsid w:val="00FD08B3"/>
    <w:rsid w:val="00FD35F6"/>
    <w:rsid w:val="00FD3827"/>
    <w:rsid w:val="00FD556A"/>
    <w:rsid w:val="00FD599E"/>
    <w:rsid w:val="00FD6800"/>
    <w:rsid w:val="00FD7996"/>
    <w:rsid w:val="00FE302F"/>
    <w:rsid w:val="00FE33B3"/>
    <w:rsid w:val="00FE4BFA"/>
    <w:rsid w:val="00FE52D0"/>
    <w:rsid w:val="00FE5732"/>
    <w:rsid w:val="00FE5AFC"/>
    <w:rsid w:val="00FE67C0"/>
    <w:rsid w:val="00FE6D1E"/>
    <w:rsid w:val="00FE7614"/>
    <w:rsid w:val="00FF1157"/>
    <w:rsid w:val="00FF1C13"/>
    <w:rsid w:val="00FF4C1A"/>
    <w:rsid w:val="00FF63D3"/>
    <w:rsid w:val="00FF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1E19E"/>
  <w15:docId w15:val="{3025FDA3-F144-485B-91F8-A0AF7572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B060A"/>
    <w:pPr>
      <w:widowControl w:val="0"/>
      <w:ind w:firstLine="576"/>
      <w:jc w:val="both"/>
    </w:pPr>
  </w:style>
  <w:style w:type="character" w:customStyle="1" w:styleId="BodyTextChar">
    <w:name w:val="Body Text Char"/>
    <w:basedOn w:val="DefaultParagraphFont"/>
    <w:link w:val="BodyText"/>
    <w:rsid w:val="002B060A"/>
  </w:style>
  <w:style w:type="character" w:styleId="Hyperlink">
    <w:name w:val="Hyperlink"/>
    <w:basedOn w:val="TextParagraphChar"/>
    <w:uiPriority w:val="99"/>
    <w:unhideWhenUsed/>
    <w:rsid w:val="001810CA"/>
    <w:rPr>
      <w:rFonts w:ascii="Century Schoolbook" w:eastAsia="Times New Roman" w:hAnsi="Century Schoolbook" w:cs="Times New Roman"/>
      <w:color w:val="auto"/>
      <w:sz w:val="21"/>
      <w:szCs w:val="28"/>
      <w:u w:val="none"/>
    </w:rPr>
  </w:style>
  <w:style w:type="paragraph" w:customStyle="1" w:styleId="TextParagraph">
    <w:name w:val="Text Paragraph"/>
    <w:link w:val="TextParagraphChar"/>
    <w:qFormat/>
    <w:rsid w:val="001810CA"/>
    <w:pPr>
      <w:spacing w:before="100" w:after="100" w:line="250" w:lineRule="exact"/>
      <w:ind w:firstLine="432"/>
      <w:jc w:val="both"/>
    </w:pPr>
    <w:rPr>
      <w:rFonts w:ascii="Century Schoolbook" w:eastAsia="Times New Roman" w:hAnsi="Century Schoolbook" w:cs="Times New Roman"/>
      <w:sz w:val="21"/>
      <w:szCs w:val="28"/>
    </w:rPr>
  </w:style>
  <w:style w:type="character" w:customStyle="1" w:styleId="TextParagraphChar">
    <w:name w:val="Text Paragraph Char"/>
    <w:basedOn w:val="DefaultParagraphFont"/>
    <w:link w:val="TextParagraph"/>
    <w:rsid w:val="001810CA"/>
    <w:rPr>
      <w:rFonts w:ascii="Century Schoolbook" w:eastAsia="Times New Roman" w:hAnsi="Century Schoolbook" w:cs="Times New Roman"/>
      <w:sz w:val="21"/>
      <w:szCs w:val="28"/>
    </w:rPr>
  </w:style>
  <w:style w:type="paragraph" w:customStyle="1" w:styleId="TextHeadCentered">
    <w:name w:val="Text Head Centered"/>
    <w:next w:val="TextParagraph"/>
    <w:qFormat/>
    <w:rsid w:val="000120FA"/>
    <w:pPr>
      <w:keepNext/>
      <w:suppressAutoHyphens/>
      <w:spacing w:before="100" w:after="100" w:line="250" w:lineRule="exact"/>
      <w:ind w:left="432" w:right="432"/>
      <w:jc w:val="center"/>
    </w:pPr>
    <w:rPr>
      <w:rFonts w:ascii="Century Schoolbook" w:eastAsia="Times New Roman" w:hAnsi="Century Schoolbook" w:cs="Times New Roman"/>
      <w:sz w:val="21"/>
      <w:szCs w:val="24"/>
    </w:rPr>
  </w:style>
  <w:style w:type="paragraph" w:customStyle="1" w:styleId="TextFlush">
    <w:name w:val="Text Flush"/>
    <w:basedOn w:val="TextParagraph"/>
    <w:next w:val="TextParagraph"/>
    <w:qFormat/>
    <w:rsid w:val="000120FA"/>
    <w:pPr>
      <w:ind w:firstLine="0"/>
    </w:pPr>
  </w:style>
  <w:style w:type="paragraph" w:customStyle="1" w:styleId="SourceLine">
    <w:name w:val="Source Line"/>
    <w:next w:val="TextParagraph"/>
    <w:qFormat/>
    <w:rsid w:val="000120FA"/>
    <w:pPr>
      <w:spacing w:line="200" w:lineRule="atLeast"/>
      <w:jc w:val="center"/>
    </w:pPr>
    <w:rPr>
      <w:rFonts w:ascii="Century Schoolbook" w:eastAsia="Times New Roman" w:hAnsi="Century Schoolbook" w:cs="Times New Roman"/>
      <w:sz w:val="18"/>
      <w:szCs w:val="24"/>
    </w:rPr>
  </w:style>
  <w:style w:type="character" w:styleId="CommentReference">
    <w:name w:val="annotation reference"/>
    <w:basedOn w:val="DefaultParagraphFont"/>
    <w:uiPriority w:val="99"/>
    <w:semiHidden/>
    <w:unhideWhenUsed/>
    <w:rsid w:val="000120FA"/>
    <w:rPr>
      <w:sz w:val="16"/>
      <w:szCs w:val="16"/>
    </w:rPr>
  </w:style>
  <w:style w:type="paragraph" w:styleId="CommentText">
    <w:name w:val="annotation text"/>
    <w:basedOn w:val="Normal"/>
    <w:link w:val="CommentTextChar"/>
    <w:uiPriority w:val="99"/>
    <w:unhideWhenUsed/>
    <w:rsid w:val="000120FA"/>
    <w:pPr>
      <w:spacing w:after="0" w:line="240" w:lineRule="auto"/>
    </w:pPr>
    <w:rPr>
      <w:rFonts w:ascii="New Century Schoolbook" w:eastAsia="Times New Roman" w:hAnsi="New Century Schoolbook" w:cs="Times New Roman"/>
      <w:sz w:val="20"/>
      <w:szCs w:val="20"/>
    </w:rPr>
  </w:style>
  <w:style w:type="character" w:customStyle="1" w:styleId="CommentTextChar">
    <w:name w:val="Comment Text Char"/>
    <w:basedOn w:val="DefaultParagraphFont"/>
    <w:link w:val="CommentText"/>
    <w:uiPriority w:val="99"/>
    <w:rsid w:val="000120FA"/>
    <w:rPr>
      <w:rFonts w:ascii="New Century Schoolbook" w:eastAsia="Times New Roman" w:hAnsi="New Century Schoolbook" w:cs="Times New Roman"/>
      <w:sz w:val="20"/>
      <w:szCs w:val="20"/>
    </w:rPr>
  </w:style>
  <w:style w:type="paragraph" w:styleId="BalloonText">
    <w:name w:val="Balloon Text"/>
    <w:basedOn w:val="Normal"/>
    <w:link w:val="BalloonTextChar"/>
    <w:uiPriority w:val="99"/>
    <w:semiHidden/>
    <w:unhideWhenUsed/>
    <w:rsid w:val="00012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0FA"/>
    <w:rPr>
      <w:rFonts w:ascii="Tahoma" w:hAnsi="Tahoma" w:cs="Tahoma"/>
      <w:sz w:val="16"/>
      <w:szCs w:val="16"/>
    </w:rPr>
  </w:style>
  <w:style w:type="character" w:customStyle="1" w:styleId="CHB">
    <w:name w:val="CHB"/>
    <w:uiPriority w:val="99"/>
    <w:rsid w:val="008E69E5"/>
    <w:rPr>
      <w:b/>
      <w:bCs/>
    </w:rPr>
  </w:style>
  <w:style w:type="character" w:customStyle="1" w:styleId="TCI">
    <w:name w:val="TCI"/>
    <w:uiPriority w:val="99"/>
    <w:rsid w:val="008E69E5"/>
    <w:rPr>
      <w:i/>
      <w:iCs/>
    </w:rPr>
  </w:style>
  <w:style w:type="character" w:customStyle="1" w:styleId="CH2">
    <w:name w:val="CH2"/>
    <w:uiPriority w:val="99"/>
    <w:rsid w:val="008E69E5"/>
  </w:style>
  <w:style w:type="character" w:customStyle="1" w:styleId="CH1">
    <w:name w:val="CH1"/>
    <w:uiPriority w:val="99"/>
    <w:rsid w:val="008E69E5"/>
  </w:style>
  <w:style w:type="character" w:customStyle="1" w:styleId="T">
    <w:name w:val="T"/>
    <w:rsid w:val="008E69E5"/>
  </w:style>
  <w:style w:type="paragraph" w:styleId="Header">
    <w:name w:val="header"/>
    <w:basedOn w:val="Normal"/>
    <w:link w:val="HeaderChar"/>
    <w:uiPriority w:val="99"/>
    <w:unhideWhenUsed/>
    <w:rsid w:val="001E2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FAE"/>
  </w:style>
  <w:style w:type="paragraph" w:styleId="Footer">
    <w:name w:val="footer"/>
    <w:basedOn w:val="Normal"/>
    <w:link w:val="FooterChar"/>
    <w:uiPriority w:val="99"/>
    <w:unhideWhenUsed/>
    <w:rsid w:val="001E2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FAE"/>
  </w:style>
  <w:style w:type="paragraph" w:customStyle="1" w:styleId="ImageSpace">
    <w:name w:val="Image Space"/>
    <w:basedOn w:val="TextParagraph"/>
    <w:link w:val="ImageSpaceChar"/>
    <w:qFormat/>
    <w:rsid w:val="006404DF"/>
    <w:pPr>
      <w:spacing w:after="0" w:line="240" w:lineRule="auto"/>
      <w:ind w:firstLine="0"/>
      <w:jc w:val="center"/>
    </w:pPr>
  </w:style>
  <w:style w:type="character" w:customStyle="1" w:styleId="ImageSpaceChar">
    <w:name w:val="Image Space Char"/>
    <w:basedOn w:val="TextParagraphChar"/>
    <w:link w:val="ImageSpace"/>
    <w:rsid w:val="006404DF"/>
    <w:rPr>
      <w:rFonts w:ascii="Century Schoolbook" w:eastAsia="Times New Roman" w:hAnsi="Century Schoolbook" w:cs="Times New Roman"/>
      <w:sz w:val="21"/>
      <w:szCs w:val="28"/>
    </w:rPr>
  </w:style>
  <w:style w:type="character" w:customStyle="1" w:styleId="B">
    <w:name w:val="B"/>
    <w:uiPriority w:val="99"/>
    <w:rsid w:val="006404DF"/>
  </w:style>
  <w:style w:type="paragraph" w:customStyle="1" w:styleId="WTCB">
    <w:name w:val="W_TCB"/>
    <w:rsid w:val="00A00EAE"/>
    <w:pPr>
      <w:spacing w:line="250" w:lineRule="exact"/>
      <w:jc w:val="center"/>
    </w:pPr>
    <w:rPr>
      <w:rFonts w:ascii="Century Schoolbook" w:eastAsia="Times New Roman" w:hAnsi="Century Schoolbook" w:cs="Times New Roman"/>
      <w:b/>
      <w:sz w:val="21"/>
      <w:szCs w:val="24"/>
    </w:rPr>
  </w:style>
  <w:style w:type="paragraph" w:styleId="ListParagraph">
    <w:name w:val="List Paragraph"/>
    <w:basedOn w:val="Normal"/>
    <w:uiPriority w:val="34"/>
    <w:qFormat/>
    <w:rsid w:val="008A1F62"/>
    <w:pPr>
      <w:ind w:left="720"/>
      <w:contextualSpacing/>
    </w:pPr>
  </w:style>
  <w:style w:type="character" w:customStyle="1" w:styleId="text1">
    <w:name w:val="text1"/>
    <w:basedOn w:val="DefaultParagraphFont"/>
    <w:rsid w:val="00186145"/>
    <w:rPr>
      <w:rFonts w:ascii="Verdana" w:hAnsi="Verdana" w:cs="Arial" w:hint="default"/>
      <w:sz w:val="15"/>
      <w:szCs w:val="15"/>
    </w:rPr>
  </w:style>
  <w:style w:type="character" w:customStyle="1" w:styleId="apple-converted-space">
    <w:name w:val="apple-converted-space"/>
    <w:basedOn w:val="DefaultParagraphFont"/>
    <w:rsid w:val="00DE44D6"/>
  </w:style>
  <w:style w:type="paragraph" w:styleId="NoSpacing">
    <w:name w:val="No Spacing"/>
    <w:uiPriority w:val="1"/>
    <w:qFormat/>
    <w:rsid w:val="004F56F8"/>
    <w:pPr>
      <w:spacing w:after="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4F56F8"/>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4F56F8"/>
    <w:rPr>
      <w:rFonts w:ascii="Times New Roman" w:hAnsi="Times New Roman" w:cs="Times New Roman"/>
      <w:sz w:val="20"/>
      <w:szCs w:val="20"/>
    </w:rPr>
  </w:style>
  <w:style w:type="character" w:styleId="FootnoteReference">
    <w:name w:val="footnote reference"/>
    <w:basedOn w:val="DefaultParagraphFont"/>
    <w:uiPriority w:val="99"/>
    <w:unhideWhenUsed/>
    <w:rsid w:val="004F56F8"/>
    <w:rPr>
      <w:vertAlign w:val="superscript"/>
    </w:rPr>
  </w:style>
  <w:style w:type="paragraph" w:styleId="CommentSubject">
    <w:name w:val="annotation subject"/>
    <w:basedOn w:val="CommentText"/>
    <w:next w:val="CommentText"/>
    <w:link w:val="CommentSubjectChar"/>
    <w:uiPriority w:val="99"/>
    <w:semiHidden/>
    <w:unhideWhenUsed/>
    <w:rsid w:val="004F56F8"/>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4F56F8"/>
    <w:rPr>
      <w:rFonts w:ascii="Times New Roman" w:eastAsia="Times New Roman" w:hAnsi="Times New Roman" w:cs="Times New Roman"/>
      <w:b/>
      <w:bCs/>
      <w:sz w:val="20"/>
      <w:szCs w:val="20"/>
    </w:rPr>
  </w:style>
  <w:style w:type="table" w:styleId="TableGrid">
    <w:name w:val="Table Grid"/>
    <w:basedOn w:val="TableNormal"/>
    <w:uiPriority w:val="59"/>
    <w:rsid w:val="00230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Docttl">
    <w:name w:val="h1Docttl"/>
    <w:basedOn w:val="Normal"/>
    <w:link w:val="h1DocttlChar"/>
    <w:rsid w:val="00AB3C0C"/>
    <w:pPr>
      <w:spacing w:after="0" w:line="240" w:lineRule="auto"/>
    </w:pPr>
    <w:rPr>
      <w:rFonts w:ascii="Times New Roman" w:eastAsia="Times New Roman" w:hAnsi="Times New Roman" w:cs="Times New Roman"/>
      <w:sz w:val="30"/>
      <w:szCs w:val="30"/>
    </w:rPr>
  </w:style>
  <w:style w:type="character" w:customStyle="1" w:styleId="h1DocttlChar">
    <w:name w:val="h1Docttl Char"/>
    <w:link w:val="h1Docttl"/>
    <w:rsid w:val="00AB3C0C"/>
    <w:rPr>
      <w:rFonts w:ascii="Times New Roman" w:eastAsia="Times New Roman" w:hAnsi="Times New Roman" w:cs="Times New Roman"/>
      <w:sz w:val="30"/>
      <w:szCs w:val="30"/>
    </w:rPr>
  </w:style>
  <w:style w:type="paragraph" w:customStyle="1" w:styleId="pdocinfo">
    <w:name w:val="pdocinfo"/>
    <w:basedOn w:val="Normal"/>
    <w:link w:val="pdocinfoChar"/>
    <w:rsid w:val="00AB3C0C"/>
    <w:pPr>
      <w:spacing w:after="0" w:line="240" w:lineRule="auto"/>
    </w:pPr>
    <w:rPr>
      <w:rFonts w:ascii="Times New Roman" w:eastAsia="Times New Roman" w:hAnsi="Times New Roman" w:cs="Times New Roman"/>
      <w:spacing w:val="-2"/>
      <w:sz w:val="24"/>
      <w:szCs w:val="24"/>
    </w:rPr>
  </w:style>
  <w:style w:type="paragraph" w:customStyle="1" w:styleId="span">
    <w:name w:val="span"/>
    <w:basedOn w:val="Normal"/>
    <w:link w:val="spanChar"/>
    <w:rsid w:val="00AB3C0C"/>
    <w:pPr>
      <w:spacing w:after="0" w:line="240" w:lineRule="auto"/>
    </w:pPr>
    <w:rPr>
      <w:rFonts w:ascii="Times New Roman" w:eastAsia="Times New Roman" w:hAnsi="Times New Roman" w:cs="Times New Roman"/>
      <w:spacing w:val="-1"/>
    </w:rPr>
  </w:style>
  <w:style w:type="paragraph" w:customStyle="1" w:styleId="pagshow">
    <w:name w:val="pag_show"/>
    <w:basedOn w:val="Normal"/>
    <w:link w:val="pagshowChar"/>
    <w:rsid w:val="00AB3C0C"/>
    <w:pPr>
      <w:spacing w:after="0" w:line="240" w:lineRule="auto"/>
    </w:pPr>
    <w:rPr>
      <w:rFonts w:ascii="Times New Roman" w:eastAsia="Times New Roman" w:hAnsi="Times New Roman" w:cs="Times New Roman"/>
      <w:spacing w:val="-2"/>
      <w:sz w:val="24"/>
      <w:szCs w:val="24"/>
    </w:rPr>
  </w:style>
  <w:style w:type="paragraph" w:customStyle="1" w:styleId="articalp">
    <w:name w:val="articalp"/>
    <w:basedOn w:val="Normal"/>
    <w:link w:val="articalpChar"/>
    <w:rsid w:val="00AB3C0C"/>
    <w:pPr>
      <w:spacing w:after="0" w:line="240" w:lineRule="auto"/>
    </w:pPr>
    <w:rPr>
      <w:rFonts w:ascii="Times New Roman" w:eastAsia="Times New Roman" w:hAnsi="Times New Roman" w:cs="Times New Roman"/>
      <w:spacing w:val="-4"/>
      <w:sz w:val="28"/>
      <w:szCs w:val="28"/>
    </w:rPr>
  </w:style>
  <w:style w:type="character" w:customStyle="1" w:styleId="articalpChar">
    <w:name w:val="articalp Char"/>
    <w:link w:val="articalp"/>
    <w:rsid w:val="00AB3C0C"/>
    <w:rPr>
      <w:rFonts w:ascii="Times New Roman" w:eastAsia="Times New Roman" w:hAnsi="Times New Roman" w:cs="Times New Roman"/>
      <w:spacing w:val="-4"/>
      <w:sz w:val="28"/>
      <w:szCs w:val="28"/>
    </w:rPr>
  </w:style>
  <w:style w:type="character" w:customStyle="1" w:styleId="pagshowChar">
    <w:name w:val="pag_show Char"/>
    <w:link w:val="pagshow"/>
    <w:rsid w:val="00AB3C0C"/>
    <w:rPr>
      <w:rFonts w:ascii="Times New Roman" w:eastAsia="Times New Roman" w:hAnsi="Times New Roman" w:cs="Times New Roman"/>
      <w:spacing w:val="-2"/>
      <w:sz w:val="24"/>
      <w:szCs w:val="24"/>
    </w:rPr>
  </w:style>
  <w:style w:type="character" w:customStyle="1" w:styleId="spanChar">
    <w:name w:val="span Char"/>
    <w:link w:val="span"/>
    <w:rsid w:val="00AB3C0C"/>
    <w:rPr>
      <w:rFonts w:ascii="Times New Roman" w:eastAsia="Times New Roman" w:hAnsi="Times New Roman" w:cs="Times New Roman"/>
      <w:spacing w:val="-1"/>
    </w:rPr>
  </w:style>
  <w:style w:type="character" w:customStyle="1" w:styleId="pdocinfoChar">
    <w:name w:val="pdocinfo Char"/>
    <w:link w:val="pdocinfo"/>
    <w:rsid w:val="00AB3C0C"/>
    <w:rPr>
      <w:rFonts w:ascii="Times New Roman" w:eastAsia="Times New Roman" w:hAnsi="Times New Roman" w:cs="Times New Roman"/>
      <w:spacing w:val="-2"/>
      <w:sz w:val="24"/>
      <w:szCs w:val="24"/>
    </w:rPr>
  </w:style>
  <w:style w:type="character" w:customStyle="1" w:styleId="Header1">
    <w:name w:val="Header1"/>
    <w:rsid w:val="00AB3C0C"/>
    <w:rPr>
      <w:rFonts w:ascii="Times New Roman" w:hAnsi="Times New Roman" w:cs="Times New Roman"/>
      <w:spacing w:val="-2"/>
      <w:sz w:val="24"/>
      <w:szCs w:val="24"/>
    </w:rPr>
  </w:style>
  <w:style w:type="paragraph" w:customStyle="1" w:styleId="NoteTextParagraph">
    <w:name w:val="Note Text Paragraph"/>
    <w:qFormat/>
    <w:rsid w:val="004A04E7"/>
    <w:pPr>
      <w:spacing w:before="100" w:after="100" w:line="240" w:lineRule="exact"/>
      <w:ind w:firstLine="432"/>
      <w:jc w:val="both"/>
    </w:pPr>
    <w:rPr>
      <w:rFonts w:ascii="Century Schoolbook" w:eastAsia="Times New Roman" w:hAnsi="Century Schoolbook" w:cs="Times New Roman"/>
      <w:sz w:val="20"/>
      <w:szCs w:val="28"/>
    </w:rPr>
  </w:style>
  <w:style w:type="character" w:customStyle="1" w:styleId="COM">
    <w:name w:val="COM"/>
    <w:uiPriority w:val="99"/>
    <w:rsid w:val="009D26C5"/>
    <w:rPr>
      <w:b/>
      <w:bCs/>
    </w:rPr>
  </w:style>
  <w:style w:type="character" w:customStyle="1" w:styleId="TF">
    <w:name w:val="TF"/>
    <w:uiPriority w:val="99"/>
    <w:rsid w:val="00F510BE"/>
  </w:style>
  <w:style w:type="character" w:customStyle="1" w:styleId="N">
    <w:name w:val="N"/>
    <w:uiPriority w:val="99"/>
    <w:rsid w:val="00F510BE"/>
  </w:style>
  <w:style w:type="paragraph" w:customStyle="1" w:styleId="Image">
    <w:name w:val="Image"/>
    <w:qFormat/>
    <w:rsid w:val="002B60F6"/>
    <w:pPr>
      <w:spacing w:before="200"/>
      <w:jc w:val="center"/>
    </w:pPr>
    <w:rPr>
      <w:rFonts w:ascii="Century Schoolbook" w:eastAsia="Times New Roman" w:hAnsi="Century Schoolbook" w:cs="Times New Roman"/>
      <w:b/>
      <w:bCs/>
      <w:noProof/>
      <w:sz w:val="24"/>
      <w:szCs w:val="24"/>
    </w:rPr>
  </w:style>
  <w:style w:type="paragraph" w:styleId="DocumentMap">
    <w:name w:val="Document Map"/>
    <w:basedOn w:val="Normal"/>
    <w:link w:val="DocumentMapChar"/>
    <w:uiPriority w:val="99"/>
    <w:semiHidden/>
    <w:unhideWhenUsed/>
    <w:rsid w:val="00B9240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92407"/>
    <w:rPr>
      <w:rFonts w:ascii="Times New Roman" w:hAnsi="Times New Roman" w:cs="Times New Roman"/>
      <w:sz w:val="24"/>
      <w:szCs w:val="24"/>
    </w:rPr>
  </w:style>
  <w:style w:type="paragraph" w:styleId="Revision">
    <w:name w:val="Revision"/>
    <w:hidden/>
    <w:uiPriority w:val="99"/>
    <w:semiHidden/>
    <w:rsid w:val="00B92407"/>
    <w:pPr>
      <w:spacing w:after="0" w:line="240" w:lineRule="auto"/>
    </w:pPr>
  </w:style>
  <w:style w:type="character" w:styleId="UnresolvedMention">
    <w:name w:val="Unresolved Mention"/>
    <w:basedOn w:val="DefaultParagraphFont"/>
    <w:uiPriority w:val="99"/>
    <w:unhideWhenUsed/>
    <w:rsid w:val="00204DC1"/>
    <w:rPr>
      <w:color w:val="808080"/>
      <w:shd w:val="clear" w:color="auto" w:fill="E6E6E6"/>
    </w:rPr>
  </w:style>
  <w:style w:type="paragraph" w:customStyle="1" w:styleId="Default">
    <w:name w:val="Default"/>
    <w:rsid w:val="00204DC1"/>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paragraph" w:styleId="EndnoteText">
    <w:name w:val="endnote text"/>
    <w:basedOn w:val="Normal"/>
    <w:link w:val="EndnoteTextChar"/>
    <w:uiPriority w:val="99"/>
    <w:unhideWhenUsed/>
    <w:rsid w:val="00204DC1"/>
    <w:pPr>
      <w:spacing w:after="0" w:line="240" w:lineRule="auto"/>
    </w:pPr>
    <w:rPr>
      <w:sz w:val="24"/>
      <w:szCs w:val="24"/>
    </w:rPr>
  </w:style>
  <w:style w:type="character" w:customStyle="1" w:styleId="EndnoteTextChar">
    <w:name w:val="Endnote Text Char"/>
    <w:basedOn w:val="DefaultParagraphFont"/>
    <w:link w:val="EndnoteText"/>
    <w:uiPriority w:val="99"/>
    <w:rsid w:val="00204DC1"/>
    <w:rPr>
      <w:sz w:val="24"/>
      <w:szCs w:val="24"/>
    </w:rPr>
  </w:style>
  <w:style w:type="character" w:styleId="EndnoteReference">
    <w:name w:val="endnote reference"/>
    <w:basedOn w:val="DefaultParagraphFont"/>
    <w:uiPriority w:val="99"/>
    <w:unhideWhenUsed/>
    <w:rsid w:val="00204DC1"/>
    <w:rPr>
      <w:vertAlign w:val="superscript"/>
    </w:rPr>
  </w:style>
  <w:style w:type="character" w:styleId="PageNumber">
    <w:name w:val="page number"/>
    <w:basedOn w:val="DefaultParagraphFont"/>
    <w:uiPriority w:val="99"/>
    <w:semiHidden/>
    <w:unhideWhenUsed/>
    <w:rsid w:val="00204DC1"/>
  </w:style>
  <w:style w:type="character" w:styleId="FollowedHyperlink">
    <w:name w:val="FollowedHyperlink"/>
    <w:basedOn w:val="DefaultParagraphFont"/>
    <w:uiPriority w:val="99"/>
    <w:semiHidden/>
    <w:unhideWhenUsed/>
    <w:rsid w:val="00204DC1"/>
    <w:rPr>
      <w:color w:val="800080" w:themeColor="followedHyperlink"/>
      <w:u w:val="single"/>
    </w:rPr>
  </w:style>
  <w:style w:type="character" w:customStyle="1" w:styleId="Mention1">
    <w:name w:val="Mention1"/>
    <w:basedOn w:val="DefaultParagraphFont"/>
    <w:uiPriority w:val="99"/>
    <w:semiHidden/>
    <w:unhideWhenUsed/>
    <w:rsid w:val="00204DC1"/>
    <w:rPr>
      <w:color w:val="2B579A"/>
      <w:shd w:val="clear" w:color="auto" w:fill="E6E6E6"/>
    </w:rPr>
  </w:style>
  <w:style w:type="paragraph" w:customStyle="1" w:styleId="Normal0">
    <w:name w:val="Normal_0"/>
    <w:qFormat/>
    <w:rsid w:val="00204DC1"/>
    <w:pPr>
      <w:spacing w:after="0" w:line="240" w:lineRule="auto"/>
    </w:pPr>
    <w:rPr>
      <w:rFonts w:ascii="Times New Roman" w:eastAsia="Times New Roman" w:hAnsi="Times New Roman" w:cs="Times New Roman"/>
      <w:sz w:val="24"/>
      <w:szCs w:val="24"/>
    </w:rPr>
  </w:style>
  <w:style w:type="character" w:customStyle="1" w:styleId="costarpage">
    <w:name w:val="co_starpage"/>
    <w:basedOn w:val="DefaultParagraphFont"/>
    <w:rsid w:val="00204DC1"/>
  </w:style>
  <w:style w:type="character" w:customStyle="1" w:styleId="aqj">
    <w:name w:val="aqj"/>
    <w:basedOn w:val="DefaultParagraphFont"/>
    <w:rsid w:val="00204DC1"/>
  </w:style>
  <w:style w:type="paragraph" w:styleId="NormalWeb">
    <w:name w:val="Normal (Web)"/>
    <w:basedOn w:val="Normal"/>
    <w:uiPriority w:val="99"/>
    <w:unhideWhenUsed/>
    <w:rsid w:val="00204DC1"/>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204D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53110">
      <w:bodyDiv w:val="1"/>
      <w:marLeft w:val="0"/>
      <w:marRight w:val="0"/>
      <w:marTop w:val="0"/>
      <w:marBottom w:val="0"/>
      <w:divBdr>
        <w:top w:val="none" w:sz="0" w:space="0" w:color="auto"/>
        <w:left w:val="none" w:sz="0" w:space="0" w:color="auto"/>
        <w:bottom w:val="none" w:sz="0" w:space="0" w:color="auto"/>
        <w:right w:val="none" w:sz="0" w:space="0" w:color="auto"/>
      </w:divBdr>
    </w:div>
    <w:div w:id="776219786">
      <w:bodyDiv w:val="1"/>
      <w:marLeft w:val="0"/>
      <w:marRight w:val="0"/>
      <w:marTop w:val="0"/>
      <w:marBottom w:val="0"/>
      <w:divBdr>
        <w:top w:val="none" w:sz="0" w:space="0" w:color="auto"/>
        <w:left w:val="none" w:sz="0" w:space="0" w:color="auto"/>
        <w:bottom w:val="none" w:sz="0" w:space="0" w:color="auto"/>
        <w:right w:val="none" w:sz="0" w:space="0" w:color="auto"/>
      </w:divBdr>
    </w:div>
    <w:div w:id="798648657">
      <w:bodyDiv w:val="1"/>
      <w:marLeft w:val="0"/>
      <w:marRight w:val="0"/>
      <w:marTop w:val="0"/>
      <w:marBottom w:val="0"/>
      <w:divBdr>
        <w:top w:val="none" w:sz="0" w:space="0" w:color="auto"/>
        <w:left w:val="none" w:sz="0" w:space="0" w:color="auto"/>
        <w:bottom w:val="none" w:sz="0" w:space="0" w:color="auto"/>
        <w:right w:val="none" w:sz="0" w:space="0" w:color="auto"/>
      </w:divBdr>
      <w:divsChild>
        <w:div w:id="1046219286">
          <w:marLeft w:val="0"/>
          <w:marRight w:val="0"/>
          <w:marTop w:val="0"/>
          <w:marBottom w:val="0"/>
          <w:divBdr>
            <w:top w:val="none" w:sz="0" w:space="0" w:color="auto"/>
            <w:left w:val="none" w:sz="0" w:space="0" w:color="auto"/>
            <w:bottom w:val="none" w:sz="0" w:space="0" w:color="auto"/>
            <w:right w:val="none" w:sz="0" w:space="0" w:color="auto"/>
          </w:divBdr>
        </w:div>
        <w:div w:id="1804234387">
          <w:marLeft w:val="0"/>
          <w:marRight w:val="0"/>
          <w:marTop w:val="0"/>
          <w:marBottom w:val="0"/>
          <w:divBdr>
            <w:top w:val="none" w:sz="0" w:space="0" w:color="auto"/>
            <w:left w:val="none" w:sz="0" w:space="0" w:color="auto"/>
            <w:bottom w:val="none" w:sz="0" w:space="0" w:color="auto"/>
            <w:right w:val="none" w:sz="0" w:space="0" w:color="auto"/>
          </w:divBdr>
        </w:div>
        <w:div w:id="660275545">
          <w:marLeft w:val="0"/>
          <w:marRight w:val="0"/>
          <w:marTop w:val="0"/>
          <w:marBottom w:val="0"/>
          <w:divBdr>
            <w:top w:val="none" w:sz="0" w:space="0" w:color="auto"/>
            <w:left w:val="none" w:sz="0" w:space="0" w:color="auto"/>
            <w:bottom w:val="none" w:sz="0" w:space="0" w:color="auto"/>
            <w:right w:val="none" w:sz="0" w:space="0" w:color="auto"/>
          </w:divBdr>
        </w:div>
        <w:div w:id="736173192">
          <w:marLeft w:val="0"/>
          <w:marRight w:val="0"/>
          <w:marTop w:val="0"/>
          <w:marBottom w:val="0"/>
          <w:divBdr>
            <w:top w:val="none" w:sz="0" w:space="0" w:color="auto"/>
            <w:left w:val="none" w:sz="0" w:space="0" w:color="auto"/>
            <w:bottom w:val="none" w:sz="0" w:space="0" w:color="auto"/>
            <w:right w:val="none" w:sz="0" w:space="0" w:color="auto"/>
          </w:divBdr>
        </w:div>
        <w:div w:id="538128021">
          <w:marLeft w:val="0"/>
          <w:marRight w:val="0"/>
          <w:marTop w:val="0"/>
          <w:marBottom w:val="0"/>
          <w:divBdr>
            <w:top w:val="none" w:sz="0" w:space="0" w:color="auto"/>
            <w:left w:val="none" w:sz="0" w:space="0" w:color="auto"/>
            <w:bottom w:val="none" w:sz="0" w:space="0" w:color="auto"/>
            <w:right w:val="none" w:sz="0" w:space="0" w:color="auto"/>
          </w:divBdr>
        </w:div>
        <w:div w:id="519666558">
          <w:marLeft w:val="0"/>
          <w:marRight w:val="0"/>
          <w:marTop w:val="0"/>
          <w:marBottom w:val="0"/>
          <w:divBdr>
            <w:top w:val="none" w:sz="0" w:space="0" w:color="auto"/>
            <w:left w:val="none" w:sz="0" w:space="0" w:color="auto"/>
            <w:bottom w:val="none" w:sz="0" w:space="0" w:color="auto"/>
            <w:right w:val="none" w:sz="0" w:space="0" w:color="auto"/>
          </w:divBdr>
        </w:div>
        <w:div w:id="746808481">
          <w:marLeft w:val="0"/>
          <w:marRight w:val="0"/>
          <w:marTop w:val="0"/>
          <w:marBottom w:val="0"/>
          <w:divBdr>
            <w:top w:val="none" w:sz="0" w:space="0" w:color="auto"/>
            <w:left w:val="none" w:sz="0" w:space="0" w:color="auto"/>
            <w:bottom w:val="none" w:sz="0" w:space="0" w:color="auto"/>
            <w:right w:val="none" w:sz="0" w:space="0" w:color="auto"/>
          </w:divBdr>
        </w:div>
        <w:div w:id="129596729">
          <w:marLeft w:val="0"/>
          <w:marRight w:val="0"/>
          <w:marTop w:val="0"/>
          <w:marBottom w:val="0"/>
          <w:divBdr>
            <w:top w:val="none" w:sz="0" w:space="0" w:color="auto"/>
            <w:left w:val="none" w:sz="0" w:space="0" w:color="auto"/>
            <w:bottom w:val="none" w:sz="0" w:space="0" w:color="auto"/>
            <w:right w:val="none" w:sz="0" w:space="0" w:color="auto"/>
          </w:divBdr>
        </w:div>
      </w:divsChild>
    </w:div>
    <w:div w:id="967009386">
      <w:bodyDiv w:val="1"/>
      <w:marLeft w:val="0"/>
      <w:marRight w:val="0"/>
      <w:marTop w:val="0"/>
      <w:marBottom w:val="0"/>
      <w:divBdr>
        <w:top w:val="none" w:sz="0" w:space="0" w:color="auto"/>
        <w:left w:val="none" w:sz="0" w:space="0" w:color="auto"/>
        <w:bottom w:val="none" w:sz="0" w:space="0" w:color="auto"/>
        <w:right w:val="none" w:sz="0" w:space="0" w:color="auto"/>
      </w:divBdr>
    </w:div>
    <w:div w:id="1106777557">
      <w:bodyDiv w:val="1"/>
      <w:marLeft w:val="0"/>
      <w:marRight w:val="0"/>
      <w:marTop w:val="0"/>
      <w:marBottom w:val="0"/>
      <w:divBdr>
        <w:top w:val="none" w:sz="0" w:space="0" w:color="auto"/>
        <w:left w:val="none" w:sz="0" w:space="0" w:color="auto"/>
        <w:bottom w:val="none" w:sz="0" w:space="0" w:color="auto"/>
        <w:right w:val="none" w:sz="0" w:space="0" w:color="auto"/>
      </w:divBdr>
    </w:div>
    <w:div w:id="1508209973">
      <w:bodyDiv w:val="1"/>
      <w:marLeft w:val="0"/>
      <w:marRight w:val="0"/>
      <w:marTop w:val="0"/>
      <w:marBottom w:val="0"/>
      <w:divBdr>
        <w:top w:val="none" w:sz="0" w:space="0" w:color="auto"/>
        <w:left w:val="none" w:sz="0" w:space="0" w:color="auto"/>
        <w:bottom w:val="none" w:sz="0" w:space="0" w:color="auto"/>
        <w:right w:val="none" w:sz="0" w:space="0" w:color="auto"/>
      </w:divBdr>
    </w:div>
    <w:div w:id="1516918398">
      <w:bodyDiv w:val="1"/>
      <w:marLeft w:val="0"/>
      <w:marRight w:val="0"/>
      <w:marTop w:val="0"/>
      <w:marBottom w:val="0"/>
      <w:divBdr>
        <w:top w:val="none" w:sz="0" w:space="0" w:color="auto"/>
        <w:left w:val="none" w:sz="0" w:space="0" w:color="auto"/>
        <w:bottom w:val="none" w:sz="0" w:space="0" w:color="auto"/>
        <w:right w:val="none" w:sz="0" w:space="0" w:color="auto"/>
      </w:divBdr>
      <w:divsChild>
        <w:div w:id="307907830">
          <w:marLeft w:val="0"/>
          <w:marRight w:val="0"/>
          <w:marTop w:val="0"/>
          <w:marBottom w:val="0"/>
          <w:divBdr>
            <w:top w:val="none" w:sz="0" w:space="0" w:color="auto"/>
            <w:left w:val="none" w:sz="0" w:space="0" w:color="auto"/>
            <w:bottom w:val="none" w:sz="0" w:space="0" w:color="auto"/>
            <w:right w:val="none" w:sz="0" w:space="0" w:color="auto"/>
          </w:divBdr>
        </w:div>
        <w:div w:id="463276087">
          <w:marLeft w:val="0"/>
          <w:marRight w:val="0"/>
          <w:marTop w:val="0"/>
          <w:marBottom w:val="0"/>
          <w:divBdr>
            <w:top w:val="none" w:sz="0" w:space="0" w:color="auto"/>
            <w:left w:val="none" w:sz="0" w:space="0" w:color="auto"/>
            <w:bottom w:val="none" w:sz="0" w:space="0" w:color="auto"/>
            <w:right w:val="none" w:sz="0" w:space="0" w:color="auto"/>
          </w:divBdr>
        </w:div>
        <w:div w:id="1035617763">
          <w:marLeft w:val="0"/>
          <w:marRight w:val="0"/>
          <w:marTop w:val="0"/>
          <w:marBottom w:val="0"/>
          <w:divBdr>
            <w:top w:val="none" w:sz="0" w:space="0" w:color="auto"/>
            <w:left w:val="none" w:sz="0" w:space="0" w:color="auto"/>
            <w:bottom w:val="none" w:sz="0" w:space="0" w:color="auto"/>
            <w:right w:val="none" w:sz="0" w:space="0" w:color="auto"/>
          </w:divBdr>
        </w:div>
        <w:div w:id="581178464">
          <w:marLeft w:val="0"/>
          <w:marRight w:val="0"/>
          <w:marTop w:val="0"/>
          <w:marBottom w:val="0"/>
          <w:divBdr>
            <w:top w:val="none" w:sz="0" w:space="0" w:color="auto"/>
            <w:left w:val="none" w:sz="0" w:space="0" w:color="auto"/>
            <w:bottom w:val="none" w:sz="0" w:space="0" w:color="auto"/>
            <w:right w:val="none" w:sz="0" w:space="0" w:color="auto"/>
          </w:divBdr>
        </w:div>
        <w:div w:id="1070497546">
          <w:marLeft w:val="0"/>
          <w:marRight w:val="0"/>
          <w:marTop w:val="0"/>
          <w:marBottom w:val="0"/>
          <w:divBdr>
            <w:top w:val="none" w:sz="0" w:space="0" w:color="auto"/>
            <w:left w:val="none" w:sz="0" w:space="0" w:color="auto"/>
            <w:bottom w:val="none" w:sz="0" w:space="0" w:color="auto"/>
            <w:right w:val="none" w:sz="0" w:space="0" w:color="auto"/>
          </w:divBdr>
        </w:div>
        <w:div w:id="1142190767">
          <w:marLeft w:val="0"/>
          <w:marRight w:val="0"/>
          <w:marTop w:val="0"/>
          <w:marBottom w:val="0"/>
          <w:divBdr>
            <w:top w:val="none" w:sz="0" w:space="0" w:color="auto"/>
            <w:left w:val="none" w:sz="0" w:space="0" w:color="auto"/>
            <w:bottom w:val="none" w:sz="0" w:space="0" w:color="auto"/>
            <w:right w:val="none" w:sz="0" w:space="0" w:color="auto"/>
          </w:divBdr>
        </w:div>
        <w:div w:id="1145468513">
          <w:marLeft w:val="0"/>
          <w:marRight w:val="0"/>
          <w:marTop w:val="0"/>
          <w:marBottom w:val="0"/>
          <w:divBdr>
            <w:top w:val="none" w:sz="0" w:space="0" w:color="auto"/>
            <w:left w:val="none" w:sz="0" w:space="0" w:color="auto"/>
            <w:bottom w:val="none" w:sz="0" w:space="0" w:color="auto"/>
            <w:right w:val="none" w:sz="0" w:space="0" w:color="auto"/>
          </w:divBdr>
        </w:div>
        <w:div w:id="240216427">
          <w:marLeft w:val="0"/>
          <w:marRight w:val="0"/>
          <w:marTop w:val="0"/>
          <w:marBottom w:val="0"/>
          <w:divBdr>
            <w:top w:val="none" w:sz="0" w:space="0" w:color="auto"/>
            <w:left w:val="none" w:sz="0" w:space="0" w:color="auto"/>
            <w:bottom w:val="none" w:sz="0" w:space="0" w:color="auto"/>
            <w:right w:val="none" w:sz="0" w:space="0" w:color="auto"/>
          </w:divBdr>
        </w:div>
      </w:divsChild>
    </w:div>
    <w:div w:id="1762290540">
      <w:bodyDiv w:val="1"/>
      <w:marLeft w:val="0"/>
      <w:marRight w:val="0"/>
      <w:marTop w:val="0"/>
      <w:marBottom w:val="0"/>
      <w:divBdr>
        <w:top w:val="none" w:sz="0" w:space="0" w:color="auto"/>
        <w:left w:val="none" w:sz="0" w:space="0" w:color="auto"/>
        <w:bottom w:val="none" w:sz="0" w:space="0" w:color="auto"/>
        <w:right w:val="none" w:sz="0" w:space="0" w:color="auto"/>
      </w:divBdr>
    </w:div>
    <w:div w:id="1794397588">
      <w:bodyDiv w:val="1"/>
      <w:marLeft w:val="0"/>
      <w:marRight w:val="0"/>
      <w:marTop w:val="0"/>
      <w:marBottom w:val="0"/>
      <w:divBdr>
        <w:top w:val="none" w:sz="0" w:space="0" w:color="auto"/>
        <w:left w:val="none" w:sz="0" w:space="0" w:color="auto"/>
        <w:bottom w:val="none" w:sz="0" w:space="0" w:color="auto"/>
        <w:right w:val="none" w:sz="0" w:space="0" w:color="auto"/>
      </w:divBdr>
    </w:div>
    <w:div w:id="1844927514">
      <w:bodyDiv w:val="1"/>
      <w:marLeft w:val="0"/>
      <w:marRight w:val="0"/>
      <w:marTop w:val="0"/>
      <w:marBottom w:val="0"/>
      <w:divBdr>
        <w:top w:val="none" w:sz="0" w:space="0" w:color="auto"/>
        <w:left w:val="none" w:sz="0" w:space="0" w:color="auto"/>
        <w:bottom w:val="none" w:sz="0" w:space="0" w:color="auto"/>
        <w:right w:val="none" w:sz="0" w:space="0" w:color="auto"/>
      </w:divBdr>
    </w:div>
    <w:div w:id="1851600296">
      <w:bodyDiv w:val="1"/>
      <w:marLeft w:val="0"/>
      <w:marRight w:val="0"/>
      <w:marTop w:val="0"/>
      <w:marBottom w:val="0"/>
      <w:divBdr>
        <w:top w:val="none" w:sz="0" w:space="0" w:color="auto"/>
        <w:left w:val="none" w:sz="0" w:space="0" w:color="auto"/>
        <w:bottom w:val="none" w:sz="0" w:space="0" w:color="auto"/>
        <w:right w:val="none" w:sz="0" w:space="0" w:color="auto"/>
      </w:divBdr>
    </w:div>
    <w:div w:id="209731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liefweb.int/topics/refugeesmigrants-emergency-europe" TargetMode="External"/><Relationship Id="rId18" Type="http://schemas.openxmlformats.org/officeDocument/2006/relationships/hyperlink" Target="https://2009-2017.state.gov/s/l/38616.htm" TargetMode="External"/><Relationship Id="rId26" Type="http://schemas.openxmlformats.org/officeDocument/2006/relationships/image" Target="media/image5.bin"/><Relationship Id="rId39" Type="http://schemas.openxmlformats.org/officeDocument/2006/relationships/hyperlink" Target="http://www.westlaw.com/Link/Document/FullText?findType=Y&amp;serNum=2032697500&amp;pubNum=0001650&amp;originatingDoc=Ic6477229b48d11e98c309ebae4bf89b2&amp;refType=CA&amp;fi=co_pp_sp_1650_238&amp;originationContext=document&amp;vr=3.0&amp;rs=cblt1.0&amp;transitionType=DocumentItem&amp;contextData=(sc.Search)" TargetMode="External"/><Relationship Id="rId21" Type="http://schemas.openxmlformats.org/officeDocument/2006/relationships/hyperlink" Target="http://www.gao.gov/assets/690/682965.pdf" TargetMode="External"/><Relationship Id="rId34" Type="http://schemas.openxmlformats.org/officeDocument/2006/relationships/hyperlink" Target="http://www.westlaw.com/Link/Document/FullText?findType=L&amp;pubNum=1000546&amp;cite=8USCAS1103&amp;originatingDoc=Ic6477229b48d11e98c309ebae4bf89b2&amp;refType=RB&amp;originationContext=document&amp;vr=3.0&amp;rs=cblt1.0&amp;transitionType=DocumentItem&amp;contextData=(sc.Search)" TargetMode="External"/><Relationship Id="rId42" Type="http://schemas.openxmlformats.org/officeDocument/2006/relationships/hyperlink" Target="http://www.westlaw.com/Link/Document/FullText?findType=Y&amp;serNum=2017182244&amp;pubNum=0001650&amp;originatingDoc=Ic6477229b48d11e98c309ebae4bf89b2&amp;refType=CA&amp;originationContext=document&amp;vr=3.0&amp;rs=cblt1.0&amp;transitionType=DocumentItem&amp;contextData=(sc.Search)" TargetMode="External"/><Relationship Id="rId47" Type="http://schemas.openxmlformats.org/officeDocument/2006/relationships/hyperlink" Target="https://www.cbp.gov/newsroom/stats/sw-border-migration" TargetMode="External"/><Relationship Id="rId50" Type="http://schemas.openxmlformats.org/officeDocument/2006/relationships/hyperlink" Target="https://www.gao.gov/reports/GAO-19-163/" TargetMode="External"/><Relationship Id="rId55" Type="http://schemas.openxmlformats.org/officeDocument/2006/relationships/chart" Target="charts/chart9.xml"/><Relationship Id="rId63" Type="http://schemas.openxmlformats.org/officeDocument/2006/relationships/hyperlink" Target="http://www.justice.gov/sites/default/"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euters.com/journalists/julia-edwards-ainsley" TargetMode="Externa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eu/rapid/press-release_MEMO-16-1221_en.htm" TargetMode="External"/><Relationship Id="rId24" Type="http://schemas.openxmlformats.org/officeDocument/2006/relationships/image" Target="media/image3.bin"/><Relationship Id="rId32" Type="http://schemas.openxmlformats.org/officeDocument/2006/relationships/hyperlink" Target="http://www.westlaw.com/Link/Document/FullText?findType=Y&amp;serNum=1996286966&amp;pubNum=0001650&amp;originatingDoc=Ic6477229b48d11e98c309ebae4bf89b2&amp;refType=CA&amp;fi=co_pp_sp_1650_342&amp;originationContext=document&amp;vr=3.0&amp;rs=cblt1.0&amp;transitionType=DocumentItem&amp;contextData=(sc.Search)" TargetMode="External"/><Relationship Id="rId37" Type="http://schemas.openxmlformats.org/officeDocument/2006/relationships/hyperlink" Target="http://www.westlaw.com/Link/Document/FullText?findType=L&amp;pubNum=1000546&amp;cite=8USCAS1101&amp;originatingDoc=Ic6477229b48d11e98c309ebae4bf89b2&amp;refType=LQ&amp;originationContext=document&amp;vr=3.0&amp;rs=cblt1.0&amp;transitionType=DocumentItem&amp;contextData=(sc.Search)" TargetMode="External"/><Relationship Id="rId40" Type="http://schemas.openxmlformats.org/officeDocument/2006/relationships/hyperlink" Target="http://www.westlaw.com/Link/Document/FullText?findType=Y&amp;serNum=2044801062&amp;pubNum=0001650&amp;originatingDoc=Ic6477229b48d11e98c309ebae4bf89b2&amp;refType=CA&amp;fi=co_pp_sp_1650_323&amp;originationContext=document&amp;vr=3.0&amp;rs=cblt1.0&amp;transitionType=DocumentItem&amp;contextData=(sc.Search)" TargetMode="External"/><Relationship Id="rId45" Type="http://schemas.openxmlformats.org/officeDocument/2006/relationships/hyperlink" Target="http://fas.org/sgp/crs/homesec/R43599.pdf" TargetMode="External"/><Relationship Id="rId53" Type="http://schemas.openxmlformats.org/officeDocument/2006/relationships/chart" Target="charts/chart8.xml"/><Relationship Id="rId58" Type="http://schemas.openxmlformats.org/officeDocument/2006/relationships/hyperlink" Target="http://www.immigrationpolicy.org/special-reports/two-years-and-counting-assessing-growing-power-daca"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hitehouse.gov/the-press-office/2016/06/03/statement-national-security-advisor-susan-rice-co-hosts-president-obamas" TargetMode="External"/><Relationship Id="rId23" Type="http://schemas.openxmlformats.org/officeDocument/2006/relationships/image" Target="media/image2.bin"/><Relationship Id="rId28" Type="http://schemas.openxmlformats.org/officeDocument/2006/relationships/chart" Target="charts/chart4.xml"/><Relationship Id="rId36" Type="http://schemas.openxmlformats.org/officeDocument/2006/relationships/hyperlink" Target="http://www.westlaw.com/Link/Document/FullText?findType=Y&amp;serNum=2018252636&amp;pubNum=0000780&amp;originatingDoc=Ic6477229b48d11e98c309ebae4bf89b2&amp;refType=RP&amp;fi=co_pp_sp_780_523&amp;originationContext=document&amp;vr=3.0&amp;rs=cblt1.0&amp;transitionType=DocumentItem&amp;contextData=(sc.Search)" TargetMode="External"/><Relationship Id="rId49" Type="http://schemas.openxmlformats.org/officeDocument/2006/relationships/hyperlink" Target="https://www.justice.gov/opa/speech/attorney-general-sessions-delivers-remarks-discussing-immigration-enforcement-actions" TargetMode="External"/><Relationship Id="rId57" Type="http://schemas.openxmlformats.org/officeDocument/2006/relationships/hyperlink" Target="http://www.uscis.gov/tools/reports-studies/immigration-forms-data/data-set-form-i-821d-deferred-action-childhood-arrivals" TargetMode="External"/><Relationship Id="rId61" Type="http://schemas.openxmlformats.org/officeDocument/2006/relationships/hyperlink" Target="http://www.migrationpolicy.org/research/daca-three-year-mark-high-pace-renewals-processing-difficulties-evident" TargetMode="External"/><Relationship Id="rId10" Type="http://schemas.openxmlformats.org/officeDocument/2006/relationships/hyperlink" Target="http://data.unhcr.org/syrianrefugees/regional.php" TargetMode="External"/><Relationship Id="rId19" Type="http://schemas.openxmlformats.org/officeDocument/2006/relationships/chart" Target="charts/chart1.xml"/><Relationship Id="rId31" Type="http://schemas.openxmlformats.org/officeDocument/2006/relationships/hyperlink" Target="http://www.westlaw.com/Link/Document/FullText?findType=Y&amp;serNum=1985027918&amp;pubNum=0001650&amp;originatingDoc=Ic6477229b48d11e98c309ebae4bf89b2&amp;refType=CA&amp;fi=co_pp_sp_1650_232&amp;originationContext=document&amp;vr=3.0&amp;rs=cblt1.0&amp;transitionType=DocumentItem&amp;contextData=(sc.Search)" TargetMode="External"/><Relationship Id="rId44" Type="http://schemas.openxmlformats.org/officeDocument/2006/relationships/hyperlink" Target="https://papers.ssrn.com/sol3/papers.cfm?abstract_id=2954216" TargetMode="External"/><Relationship Id="rId52" Type="http://schemas.openxmlformats.org/officeDocument/2006/relationships/chart" Target="charts/chart7.xml"/><Relationship Id="rId60" Type="http://schemas.openxmlformats.org/officeDocument/2006/relationships/hyperlink" Target="http://www.americanprogress.org/issues/immigration/report/2013/09/20/74599/undocumented-no-more/"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ta.unhcr.org/mediterranean/regional.php" TargetMode="External"/><Relationship Id="rId14" Type="http://schemas.openxmlformats.org/officeDocument/2006/relationships/hyperlink" Target="https://refugeesmigrants.un.org/summit-refugees-and-migrants-19-september-2016" TargetMode="External"/><Relationship Id="rId22" Type="http://schemas.openxmlformats.org/officeDocument/2006/relationships/image" Target="media/image1.bin"/><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http://www.westlaw.com/Link/Document/FullText?findType=Y&amp;serNum=1984130736&amp;pubNum=0000780&amp;originatingDoc=Ic6477229b48d11e98c309ebae4bf89b2&amp;refType=RP&amp;fi=co_pp_sp_780_844&amp;originationContext=document&amp;vr=3.0&amp;rs=cblt1.0&amp;transitionType=DocumentItem&amp;contextData=(sc.Search)" TargetMode="External"/><Relationship Id="rId43" Type="http://schemas.openxmlformats.org/officeDocument/2006/relationships/hyperlink" Target="http://www.westlaw.com/Link/Document/FullText?findType=Y&amp;serNum=2041738979&amp;pubNum=0001650&amp;originatingDoc=Ic6477229b48d11e98c309ebae4bf89b2&amp;refType=CA&amp;fi=co_pp_sp_1650_42&amp;originationContext=document&amp;vr=3.0&amp;rs=cblt1.0&amp;transitionType=DocumentItem&amp;contextData=(sc.Search)" TargetMode="External"/><Relationship Id="rId48" Type="http://schemas.openxmlformats.org/officeDocument/2006/relationships/hyperlink" Target="https://www.cbp.gov/newsroom/stats/sw-border-migration" TargetMode="External"/><Relationship Id="rId56" Type="http://schemas.openxmlformats.org/officeDocument/2006/relationships/hyperlink" Target="http://refworld.org/docid/52fba2404.html" TargetMode="External"/><Relationship Id="rId64" Type="http://schemas.openxmlformats.org/officeDocument/2006/relationships/hyperlink" Target="https://www.dhs.gov/publication/memorandum-secretary-kirstjen-m-nielsen-rescission-deferred-action-childhood-arrivals" TargetMode="External"/><Relationship Id="rId8" Type="http://schemas.openxmlformats.org/officeDocument/2006/relationships/hyperlink" Target="http://ec.europa.eu/eurostat/statistics-explained/index.php/Asylum_statistics" TargetMode="External"/><Relationship Id="rId51" Type="http://schemas.openxmlformats.org/officeDocument/2006/relationships/hyperlink" Target="http://harvardimmigrationclinic.files.wordpress.com/2013/11/bordering-on-failure-harvard-immigration-and-refugee-law-clinical-program1.pdf" TargetMode="External"/><Relationship Id="rId3" Type="http://schemas.openxmlformats.org/officeDocument/2006/relationships/styles" Target="styles.xml"/><Relationship Id="rId12" Type="http://schemas.openxmlformats.org/officeDocument/2006/relationships/hyperlink" Target="http://www.asylumineurope.org/sites/default/files/report-download/aida_gr_2016update.pdf" TargetMode="External"/><Relationship Id="rId17" Type="http://schemas.openxmlformats.org/officeDocument/2006/relationships/hyperlink" Target="https://www.dhs.gov/news/2018/12/20/secretary-nielsen-announces-historic-action-confront-illegal-immigration" TargetMode="External"/><Relationship Id="rId25" Type="http://schemas.openxmlformats.org/officeDocument/2006/relationships/image" Target="media/image4.bin"/><Relationship Id="rId33" Type="http://schemas.openxmlformats.org/officeDocument/2006/relationships/hyperlink" Target="http://www.westlaw.com/Link/Document/FullText?findType=Y&amp;serNum=2037712294&amp;pubNum=0000506&amp;originatingDoc=Ic6477229b48d11e98c309ebae4bf89b2&amp;refType=RP&amp;fi=co_pp_sp_506_1128&amp;originationContext=document&amp;vr=3.0&amp;rs=cblt1.0&amp;transitionType=DocumentItem&amp;contextData=(sc.Search)" TargetMode="External"/><Relationship Id="rId38" Type="http://schemas.openxmlformats.org/officeDocument/2006/relationships/hyperlink" Target="http://www.westlaw.com/Link/Document/FullText?findType=Y&amp;serNum=2016657829&amp;pubNum=0001650&amp;originatingDoc=Ic6477229b48d11e98c309ebae4bf89b2&amp;refType=CA&amp;fi=co_pp_sp_1650_586&amp;originationContext=document&amp;vr=3.0&amp;rs=cblt1.0&amp;transitionType=DocumentItem&amp;contextData=(sc.Search)" TargetMode="External"/><Relationship Id="rId46" Type="http://schemas.openxmlformats.org/officeDocument/2006/relationships/hyperlink" Target="http://www.unhcrwashington.org/sites/default/files/1_UAC_Children%20on%20the%20Run_Full%20Report.pdf" TargetMode="External"/><Relationship Id="rId59" Type="http://schemas.openxmlformats.org/officeDocument/2006/relationships/hyperlink" Target="https://www.americanprogress.org/issues/immigration/news/2015/07/09/117054/results-from-a-nationwide-survey-of-daca-recipients-illustrate-the-programs-impact/" TargetMode="External"/><Relationship Id="rId67" Type="http://schemas.openxmlformats.org/officeDocument/2006/relationships/fontTable" Target="fontTable.xml"/><Relationship Id="rId20" Type="http://schemas.openxmlformats.org/officeDocument/2006/relationships/chart" Target="charts/chart2.xml"/><Relationship Id="rId41" Type="http://schemas.openxmlformats.org/officeDocument/2006/relationships/hyperlink" Target="http://www.westlaw.com/Link/Document/FullText?findType=Y&amp;serNum=2002095738&amp;pubNum=0001650&amp;originatingDoc=Ic6477229b48d11e98c309ebae4bf89b2&amp;refType=CA&amp;fi=co_pp_sp_1650_918&amp;originationContext=document&amp;vr=3.0&amp;rs=cblt1.0&amp;transitionType=DocumentItem&amp;contextData=(sc.Search)" TargetMode="External"/><Relationship Id="rId54" Type="http://schemas.openxmlformats.org/officeDocument/2006/relationships/hyperlink" Target="https://www.justice.gov/opa/speech/attorney-general-sessions-delivers-remarks-discussing-immigration-enforcement-actions" TargetMode="External"/><Relationship Id="rId62" Type="http://schemas.openxmlformats.org/officeDocument/2006/relationships/hyperlink" Target="http://www.migrationpolicy.org/news/mpi-many-37-million-unauthorized-immigrants-could-get-relief-deportation-under-anticipated-ne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estlaw.com/Link/Document/FullText?findType=Y&amp;serNum=2031977974&amp;pubNum=0000506&amp;originatingDoc=Ic6477229b48d11e98c309ebae4bf89b2&amp;refType=RP&amp;fi=co_pp_sp_506_1306&amp;originationContext=document&amp;vr=3.0&amp;rs=cblt1.0&amp;transitionType=DocumentItem&amp;contextData=(sc.Search)" TargetMode="External"/><Relationship Id="rId2" Type="http://schemas.openxmlformats.org/officeDocument/2006/relationships/hyperlink" Target="http://www.westlaw.com/Link/Document/FullText?findType=Y&amp;serNum=2033891263&amp;pubNum=0006538&amp;originatingDoc=Ic6477229b48d11e98c309ebae4bf89b2&amp;refType=RP&amp;fi=co_pp_sp_6538_301&amp;originationContext=document&amp;vr=3.0&amp;rs=cblt1.0&amp;transitionType=DocumentItem&amp;contextData=(sc.Search)" TargetMode="External"/><Relationship Id="rId1" Type="http://schemas.openxmlformats.org/officeDocument/2006/relationships/hyperlink" Target="http://www.westlaw.com/Link/Document/FullText?findType=Y&amp;serNum=2045826991&amp;pubNum=0006538&amp;originatingDoc=Ic6477229b48d11e98c309ebae4bf89b2&amp;refType=RP&amp;fi=co_pp_sp_6538_421&amp;originationContext=document&amp;vr=3.0&amp;rs=cblt1.0&amp;transitionType=DocumentItem&amp;contextData=(sc.Search)" TargetMode="External"/><Relationship Id="rId5" Type="http://schemas.openxmlformats.org/officeDocument/2006/relationships/hyperlink" Target="http://www.westlaw.com/Link/Document/FullText?findType=Y&amp;serNum=2020465354&amp;pubNum=0006538&amp;originatingDoc=Ic6477229b48d11e98c309ebae4bf89b2&amp;refType=RP&amp;fi=co_pp_sp_6538_633&amp;originationContext=document&amp;vr=3.0&amp;rs=cblt1.0&amp;transitionType=DocumentItem&amp;contextData=(sc.Search)" TargetMode="External"/><Relationship Id="rId4" Type="http://schemas.openxmlformats.org/officeDocument/2006/relationships/hyperlink" Target="http://www.westlaw.com/Link/Document/FullText?findType=Y&amp;serNum=2031977974&amp;pubNum=0000506&amp;originatingDoc=Ic6477229b48d11e98c309ebae4bf89b2&amp;refType=RP&amp;fi=co_pp_sp_506_1310&amp;originationContext=document&amp;vr=3.0&amp;rs=cblt1.0&amp;transitionType=DocumentItem&amp;contextData=(sc.Search)"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Affirmative</c:v>
                </c:pt>
              </c:strCache>
            </c:strRef>
          </c:tx>
          <c:spPr>
            <a:ln w="28575" cap="rnd">
              <a:solidFill>
                <a:schemeClr val="accent1"/>
              </a:solidFill>
              <a:round/>
            </a:ln>
            <a:effectLst/>
          </c:spPr>
          <c:marker>
            <c:symbol val="none"/>
          </c:marker>
          <c:cat>
            <c:numRef>
              <c:f>Sheet1!$A$2:$A$21</c:f>
              <c:numCache>
                <c:formatCode>General</c:formatCode>
                <c:ptCount val="20"/>
                <c:pt idx="0">
                  <c:v>1990</c:v>
                </c:pt>
                <c:pt idx="1">
                  <c:v>1995</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numCache>
            </c:numRef>
          </c:cat>
          <c:val>
            <c:numRef>
              <c:f>Sheet1!$B$2:$B$21</c:f>
              <c:numCache>
                <c:formatCode>#,##0</c:formatCode>
                <c:ptCount val="20"/>
                <c:pt idx="0" formatCode="General">
                  <c:v>5672</c:v>
                </c:pt>
                <c:pt idx="1">
                  <c:v>12448</c:v>
                </c:pt>
                <c:pt idx="2">
                  <c:v>34580</c:v>
                </c:pt>
                <c:pt idx="3">
                  <c:v>43878</c:v>
                </c:pt>
                <c:pt idx="4">
                  <c:v>55112</c:v>
                </c:pt>
                <c:pt idx="5">
                  <c:v>47050</c:v>
                </c:pt>
                <c:pt idx="6">
                  <c:v>38730</c:v>
                </c:pt>
                <c:pt idx="7">
                  <c:v>35049</c:v>
                </c:pt>
                <c:pt idx="8">
                  <c:v>37294</c:v>
                </c:pt>
                <c:pt idx="9">
                  <c:v>41214</c:v>
                </c:pt>
                <c:pt idx="10">
                  <c:v>32776</c:v>
                </c:pt>
                <c:pt idx="11">
                  <c:v>29897</c:v>
                </c:pt>
                <c:pt idx="12">
                  <c:v>24372</c:v>
                </c:pt>
                <c:pt idx="13">
                  <c:v>27739</c:v>
                </c:pt>
                <c:pt idx="14">
                  <c:v>28482</c:v>
                </c:pt>
                <c:pt idx="15">
                  <c:v>19931</c:v>
                </c:pt>
                <c:pt idx="16">
                  <c:v>16267</c:v>
                </c:pt>
                <c:pt idx="17">
                  <c:v>17339</c:v>
                </c:pt>
                <c:pt idx="18">
                  <c:v>12753</c:v>
                </c:pt>
                <c:pt idx="19">
                  <c:v>22252</c:v>
                </c:pt>
              </c:numCache>
            </c:numRef>
          </c:val>
          <c:smooth val="0"/>
          <c:extLst>
            <c:ext xmlns:c16="http://schemas.microsoft.com/office/drawing/2014/chart" uri="{C3380CC4-5D6E-409C-BE32-E72D297353CC}">
              <c16:uniqueId val="{00000000-C103-4DA4-BC92-7754F54D672E}"/>
            </c:ext>
          </c:extLst>
        </c:ser>
        <c:ser>
          <c:idx val="1"/>
          <c:order val="1"/>
          <c:tx>
            <c:strRef>
              <c:f>Sheet1!$C$1</c:f>
              <c:strCache>
                <c:ptCount val="1"/>
                <c:pt idx="0">
                  <c:v>Defensive</c:v>
                </c:pt>
              </c:strCache>
            </c:strRef>
          </c:tx>
          <c:spPr>
            <a:ln w="28575" cap="rnd">
              <a:solidFill>
                <a:schemeClr val="accent2"/>
              </a:solidFill>
              <a:round/>
            </a:ln>
            <a:effectLst/>
          </c:spPr>
          <c:marker>
            <c:symbol val="none"/>
          </c:marker>
          <c:cat>
            <c:numRef>
              <c:f>Sheet1!$A$2:$A$21</c:f>
              <c:numCache>
                <c:formatCode>General</c:formatCode>
                <c:ptCount val="20"/>
                <c:pt idx="0">
                  <c:v>1990</c:v>
                </c:pt>
                <c:pt idx="1">
                  <c:v>1995</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numCache>
            </c:numRef>
          </c:cat>
          <c:val>
            <c:numRef>
              <c:f>Sheet1!$C$2:$C$21</c:f>
              <c:numCache>
                <c:formatCode>#,##0</c:formatCode>
                <c:ptCount val="20"/>
                <c:pt idx="0" formatCode="General">
                  <c:v>2800</c:v>
                </c:pt>
                <c:pt idx="1">
                  <c:v>2654</c:v>
                </c:pt>
                <c:pt idx="2">
                  <c:v>17248</c:v>
                </c:pt>
                <c:pt idx="3">
                  <c:v>18099</c:v>
                </c:pt>
                <c:pt idx="4">
                  <c:v>19465</c:v>
                </c:pt>
                <c:pt idx="5">
                  <c:v>19789</c:v>
                </c:pt>
                <c:pt idx="6">
                  <c:v>17788</c:v>
                </c:pt>
                <c:pt idx="7">
                  <c:v>15551</c:v>
                </c:pt>
                <c:pt idx="8">
                  <c:v>19673</c:v>
                </c:pt>
                <c:pt idx="9">
                  <c:v>16301</c:v>
                </c:pt>
                <c:pt idx="10">
                  <c:v>14666</c:v>
                </c:pt>
                <c:pt idx="11">
                  <c:v>14125</c:v>
                </c:pt>
                <c:pt idx="12">
                  <c:v>8589</c:v>
                </c:pt>
                <c:pt idx="13">
                  <c:v>15332</c:v>
                </c:pt>
                <c:pt idx="14">
                  <c:v>19839</c:v>
                </c:pt>
                <c:pt idx="15">
                  <c:v>23101</c:v>
                </c:pt>
                <c:pt idx="16">
                  <c:v>30876</c:v>
                </c:pt>
                <c:pt idx="17">
                  <c:v>45884</c:v>
                </c:pt>
                <c:pt idx="18">
                  <c:v>68980</c:v>
                </c:pt>
                <c:pt idx="19">
                  <c:v>120709</c:v>
                </c:pt>
              </c:numCache>
            </c:numRef>
          </c:val>
          <c:smooth val="0"/>
          <c:extLst>
            <c:ext xmlns:c16="http://schemas.microsoft.com/office/drawing/2014/chart" uri="{C3380CC4-5D6E-409C-BE32-E72D297353CC}">
              <c16:uniqueId val="{00000001-C103-4DA4-BC92-7754F54D672E}"/>
            </c:ext>
          </c:extLst>
        </c:ser>
        <c:dLbls>
          <c:showLegendKey val="0"/>
          <c:showVal val="0"/>
          <c:showCatName val="0"/>
          <c:showSerName val="0"/>
          <c:showPercent val="0"/>
          <c:showBubbleSize val="0"/>
        </c:dLbls>
        <c:smooth val="0"/>
        <c:axId val="-2131845416"/>
        <c:axId val="-2131852616"/>
      </c:lineChart>
      <c:catAx>
        <c:axId val="-2131845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1852616"/>
        <c:crosses val="autoZero"/>
        <c:auto val="1"/>
        <c:lblAlgn val="ctr"/>
        <c:lblOffset val="100"/>
        <c:noMultiLvlLbl val="0"/>
      </c:catAx>
      <c:valAx>
        <c:axId val="-2131852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1845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Affirmative</c:v>
                </c:pt>
              </c:strCache>
            </c:strRef>
          </c:tx>
          <c:spPr>
            <a:ln w="28575" cap="rnd">
              <a:solidFill>
                <a:schemeClr val="accent1"/>
              </a:solidFill>
              <a:round/>
            </a:ln>
            <a:effectLst/>
          </c:spPr>
          <c:marker>
            <c:symbol val="none"/>
          </c:marker>
          <c:cat>
            <c:numRef>
              <c:f>Sheet1!$A$2:$A$24</c:f>
              <c:numCache>
                <c:formatCode>General</c:formatCode>
                <c:ptCount val="23"/>
                <c:pt idx="0">
                  <c:v>1990</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numCache>
            </c:numRef>
          </c:cat>
          <c:val>
            <c:numRef>
              <c:f>Sheet1!$B$2:$B$24</c:f>
              <c:numCache>
                <c:formatCode>#,##0</c:formatCode>
                <c:ptCount val="23"/>
                <c:pt idx="0">
                  <c:v>5672</c:v>
                </c:pt>
                <c:pt idx="1">
                  <c:v>4660</c:v>
                </c:pt>
                <c:pt idx="2">
                  <c:v>2744</c:v>
                </c:pt>
                <c:pt idx="3">
                  <c:v>2744</c:v>
                </c:pt>
                <c:pt idx="4">
                  <c:v>3361</c:v>
                </c:pt>
                <c:pt idx="5">
                  <c:v>6492</c:v>
                </c:pt>
                <c:pt idx="6">
                  <c:v>6703</c:v>
                </c:pt>
                <c:pt idx="7">
                  <c:v>6781</c:v>
                </c:pt>
                <c:pt idx="8">
                  <c:v>7655</c:v>
                </c:pt>
                <c:pt idx="9">
                  <c:v>9904</c:v>
                </c:pt>
                <c:pt idx="10">
                  <c:v>9849</c:v>
                </c:pt>
                <c:pt idx="11">
                  <c:v>8708</c:v>
                </c:pt>
                <c:pt idx="12">
                  <c:v>9525</c:v>
                </c:pt>
                <c:pt idx="13">
                  <c:v>8408</c:v>
                </c:pt>
                <c:pt idx="14">
                  <c:v>7356</c:v>
                </c:pt>
                <c:pt idx="15">
                  <c:v>7262</c:v>
                </c:pt>
                <c:pt idx="16">
                  <c:v>7088</c:v>
                </c:pt>
                <c:pt idx="17">
                  <c:v>8195</c:v>
                </c:pt>
                <c:pt idx="18">
                  <c:v>7721</c:v>
                </c:pt>
                <c:pt idx="19">
                  <c:v>7175</c:v>
                </c:pt>
                <c:pt idx="20">
                  <c:v>5925</c:v>
                </c:pt>
                <c:pt idx="21">
                  <c:v>4794</c:v>
                </c:pt>
                <c:pt idx="22">
                  <c:v>3890</c:v>
                </c:pt>
              </c:numCache>
            </c:numRef>
          </c:val>
          <c:smooth val="0"/>
          <c:extLst>
            <c:ext xmlns:c16="http://schemas.microsoft.com/office/drawing/2014/chart" uri="{C3380CC4-5D6E-409C-BE32-E72D297353CC}">
              <c16:uniqueId val="{00000000-218F-40C2-B210-3994E9CD14F7}"/>
            </c:ext>
          </c:extLst>
        </c:ser>
        <c:ser>
          <c:idx val="1"/>
          <c:order val="1"/>
          <c:tx>
            <c:strRef>
              <c:f>Sheet1!$C$1</c:f>
              <c:strCache>
                <c:ptCount val="1"/>
                <c:pt idx="0">
                  <c:v>Defensive</c:v>
                </c:pt>
              </c:strCache>
            </c:strRef>
          </c:tx>
          <c:spPr>
            <a:ln w="28575" cap="rnd">
              <a:solidFill>
                <a:schemeClr val="accent2"/>
              </a:solidFill>
              <a:round/>
            </a:ln>
            <a:effectLst/>
          </c:spPr>
          <c:marker>
            <c:symbol val="none"/>
          </c:marker>
          <c:cat>
            <c:numRef>
              <c:f>Sheet1!$A$2:$A$24</c:f>
              <c:numCache>
                <c:formatCode>General</c:formatCode>
                <c:ptCount val="23"/>
                <c:pt idx="0">
                  <c:v>1990</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numCache>
            </c:numRef>
          </c:cat>
          <c:val>
            <c:numRef>
              <c:f>Sheet1!$C$2:$C$24</c:f>
              <c:numCache>
                <c:formatCode>#,##0</c:formatCode>
                <c:ptCount val="23"/>
                <c:pt idx="0">
                  <c:v>2800</c:v>
                </c:pt>
                <c:pt idx="1">
                  <c:v>1504</c:v>
                </c:pt>
                <c:pt idx="2">
                  <c:v>1476</c:v>
                </c:pt>
                <c:pt idx="3">
                  <c:v>1476</c:v>
                </c:pt>
                <c:pt idx="4">
                  <c:v>852</c:v>
                </c:pt>
                <c:pt idx="5">
                  <c:v>1890</c:v>
                </c:pt>
                <c:pt idx="6">
                  <c:v>2508</c:v>
                </c:pt>
                <c:pt idx="7">
                  <c:v>3186</c:v>
                </c:pt>
                <c:pt idx="8">
                  <c:v>3287</c:v>
                </c:pt>
                <c:pt idx="9">
                  <c:v>3403</c:v>
                </c:pt>
                <c:pt idx="10">
                  <c:v>3136</c:v>
                </c:pt>
                <c:pt idx="11">
                  <c:v>3014</c:v>
                </c:pt>
                <c:pt idx="12">
                  <c:v>3793</c:v>
                </c:pt>
                <c:pt idx="13">
                  <c:v>4368</c:v>
                </c:pt>
                <c:pt idx="14">
                  <c:v>3520</c:v>
                </c:pt>
                <c:pt idx="15">
                  <c:v>3030</c:v>
                </c:pt>
                <c:pt idx="16">
                  <c:v>2771</c:v>
                </c:pt>
                <c:pt idx="17">
                  <c:v>3333</c:v>
                </c:pt>
                <c:pt idx="18">
                  <c:v>2964</c:v>
                </c:pt>
                <c:pt idx="19">
                  <c:v>2589</c:v>
                </c:pt>
                <c:pt idx="20">
                  <c:v>2747</c:v>
                </c:pt>
                <c:pt idx="21">
                  <c:v>3390</c:v>
                </c:pt>
                <c:pt idx="22">
                  <c:v>4863</c:v>
                </c:pt>
              </c:numCache>
            </c:numRef>
          </c:val>
          <c:smooth val="0"/>
          <c:extLst>
            <c:ext xmlns:c16="http://schemas.microsoft.com/office/drawing/2014/chart" uri="{C3380CC4-5D6E-409C-BE32-E72D297353CC}">
              <c16:uniqueId val="{00000001-218F-40C2-B210-3994E9CD14F7}"/>
            </c:ext>
          </c:extLst>
        </c:ser>
        <c:dLbls>
          <c:showLegendKey val="0"/>
          <c:showVal val="0"/>
          <c:showCatName val="0"/>
          <c:showSerName val="0"/>
          <c:showPercent val="0"/>
          <c:showBubbleSize val="0"/>
        </c:dLbls>
        <c:smooth val="0"/>
        <c:axId val="-2131878520"/>
        <c:axId val="-2131883960"/>
      </c:lineChart>
      <c:catAx>
        <c:axId val="-2131878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1883960"/>
        <c:crosses val="autoZero"/>
        <c:auto val="1"/>
        <c:lblAlgn val="ctr"/>
        <c:lblOffset val="100"/>
        <c:noMultiLvlLbl val="0"/>
      </c:catAx>
      <c:valAx>
        <c:axId val="-21318839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1878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Figure 8.9 Asylum Cases approved by USCIS,  2016</c:v>
                </c:pt>
              </c:strCache>
            </c:strRef>
          </c:tx>
          <c:dLbl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dLblPos val="outEnd"/>
            <c:showLegendKey val="1"/>
            <c:showVal val="1"/>
            <c:showCatName val="0"/>
            <c:showSerName val="0"/>
            <c:showPercent val="0"/>
            <c:showBubbleSize val="0"/>
            <c:showLeaderLines val="1"/>
            <c:extLst>
              <c:ext xmlns:c15="http://schemas.microsoft.com/office/drawing/2012/chart" uri="{CE6537A1-D6FC-4f65-9D91-7224C49458BB}"/>
            </c:extLst>
          </c:dLbls>
          <c:cat>
            <c:strRef>
              <c:f>Sheet1!$A$2:$A$12</c:f>
              <c:strCache>
                <c:ptCount val="11"/>
                <c:pt idx="0">
                  <c:v>China</c:v>
                </c:pt>
                <c:pt idx="1">
                  <c:v>Guatemala</c:v>
                </c:pt>
                <c:pt idx="2">
                  <c:v>Honduras</c:v>
                </c:pt>
                <c:pt idx="3">
                  <c:v>Mexico </c:v>
                </c:pt>
                <c:pt idx="4">
                  <c:v>India</c:v>
                </c:pt>
                <c:pt idx="5">
                  <c:v>Nepal</c:v>
                </c:pt>
                <c:pt idx="6">
                  <c:v>Ethiopia</c:v>
                </c:pt>
                <c:pt idx="7">
                  <c:v>Somalia</c:v>
                </c:pt>
                <c:pt idx="8">
                  <c:v>Eritrea</c:v>
                </c:pt>
                <c:pt idx="9">
                  <c:v>All Others</c:v>
                </c:pt>
                <c:pt idx="10">
                  <c:v>Other</c:v>
                </c:pt>
              </c:strCache>
            </c:strRef>
          </c:cat>
          <c:val>
            <c:numRef>
              <c:f>Sheet1!$B$2:$B$12</c:f>
              <c:numCache>
                <c:formatCode>General</c:formatCode>
                <c:ptCount val="11"/>
                <c:pt idx="0" formatCode="#,##0">
                  <c:v>3103</c:v>
                </c:pt>
                <c:pt idx="1">
                  <c:v>632</c:v>
                </c:pt>
                <c:pt idx="2">
                  <c:v>620</c:v>
                </c:pt>
                <c:pt idx="3">
                  <c:v>464</c:v>
                </c:pt>
                <c:pt idx="4">
                  <c:v>309</c:v>
                </c:pt>
                <c:pt idx="5">
                  <c:v>235</c:v>
                </c:pt>
                <c:pt idx="6">
                  <c:v>181</c:v>
                </c:pt>
                <c:pt idx="7">
                  <c:v>153</c:v>
                </c:pt>
                <c:pt idx="8">
                  <c:v>152</c:v>
                </c:pt>
                <c:pt idx="9" formatCode="#,##0">
                  <c:v>2094</c:v>
                </c:pt>
                <c:pt idx="10">
                  <c:v>5572</c:v>
                </c:pt>
              </c:numCache>
            </c:numRef>
          </c:val>
          <c:extLst>
            <c:ext xmlns:c16="http://schemas.microsoft.com/office/drawing/2014/chart" uri="{C3380CC4-5D6E-409C-BE32-E72D297353CC}">
              <c16:uniqueId val="{00000000-AC42-46A9-A7D9-0B21D3BD86B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Figure 8.9 Asylum Cases approved by USCIS,  2017</c:v>
                </c:pt>
              </c:strCache>
            </c:strRef>
          </c:tx>
          <c:spPr>
            <a:ln>
              <a:solidFill>
                <a:schemeClr val="accent1"/>
              </a:solidFill>
            </a:ln>
          </c:spPr>
          <c:dPt>
            <c:idx val="0"/>
            <c:bubble3D val="0"/>
            <c:spPr>
              <a:solidFill>
                <a:schemeClr val="accent1"/>
              </a:solidFill>
              <a:ln>
                <a:solidFill>
                  <a:schemeClr val="tx1"/>
                </a:solidFill>
              </a:ln>
              <a:effectLst/>
            </c:spPr>
            <c:extLst>
              <c:ext xmlns:c16="http://schemas.microsoft.com/office/drawing/2014/chart" uri="{C3380CC4-5D6E-409C-BE32-E72D297353CC}">
                <c16:uniqueId val="{00000001-CD61-4EA6-8AC2-717704374526}"/>
              </c:ext>
            </c:extLst>
          </c:dPt>
          <c:dPt>
            <c:idx val="1"/>
            <c:bubble3D val="0"/>
            <c:spPr>
              <a:solidFill>
                <a:schemeClr val="accent2"/>
              </a:solidFill>
              <a:ln>
                <a:solidFill>
                  <a:schemeClr val="tx1"/>
                </a:solidFill>
              </a:ln>
              <a:effectLst/>
            </c:spPr>
            <c:extLst>
              <c:ext xmlns:c16="http://schemas.microsoft.com/office/drawing/2014/chart" uri="{C3380CC4-5D6E-409C-BE32-E72D297353CC}">
                <c16:uniqueId val="{00000003-CD61-4EA6-8AC2-717704374526}"/>
              </c:ext>
            </c:extLst>
          </c:dPt>
          <c:dPt>
            <c:idx val="2"/>
            <c:bubble3D val="0"/>
            <c:spPr>
              <a:solidFill>
                <a:schemeClr val="accent3"/>
              </a:solidFill>
              <a:ln>
                <a:solidFill>
                  <a:schemeClr val="tx1"/>
                </a:solidFill>
              </a:ln>
              <a:effectLst/>
            </c:spPr>
            <c:extLst>
              <c:ext xmlns:c16="http://schemas.microsoft.com/office/drawing/2014/chart" uri="{C3380CC4-5D6E-409C-BE32-E72D297353CC}">
                <c16:uniqueId val="{00000005-CD61-4EA6-8AC2-717704374526}"/>
              </c:ext>
            </c:extLst>
          </c:dPt>
          <c:dPt>
            <c:idx val="3"/>
            <c:bubble3D val="0"/>
            <c:spPr>
              <a:solidFill>
                <a:schemeClr val="accent4"/>
              </a:solidFill>
              <a:ln>
                <a:solidFill>
                  <a:schemeClr val="tx1"/>
                </a:solidFill>
              </a:ln>
              <a:effectLst/>
            </c:spPr>
            <c:extLst>
              <c:ext xmlns:c16="http://schemas.microsoft.com/office/drawing/2014/chart" uri="{C3380CC4-5D6E-409C-BE32-E72D297353CC}">
                <c16:uniqueId val="{00000007-CD61-4EA6-8AC2-717704374526}"/>
              </c:ext>
            </c:extLst>
          </c:dPt>
          <c:dPt>
            <c:idx val="4"/>
            <c:bubble3D val="0"/>
            <c:spPr>
              <a:solidFill>
                <a:schemeClr val="tx2">
                  <a:lumMod val="40000"/>
                  <a:lumOff val="60000"/>
                </a:schemeClr>
              </a:solidFill>
              <a:ln>
                <a:solidFill>
                  <a:schemeClr val="tx1"/>
                </a:solidFill>
              </a:ln>
              <a:effectLst/>
            </c:spPr>
            <c:extLst>
              <c:ext xmlns:c16="http://schemas.microsoft.com/office/drawing/2014/chart" uri="{C3380CC4-5D6E-409C-BE32-E72D297353CC}">
                <c16:uniqueId val="{00000009-CD61-4EA6-8AC2-717704374526}"/>
              </c:ext>
            </c:extLst>
          </c:dPt>
          <c:dPt>
            <c:idx val="5"/>
            <c:bubble3D val="0"/>
            <c:spPr>
              <a:solidFill>
                <a:schemeClr val="accent6"/>
              </a:solidFill>
              <a:ln>
                <a:solidFill>
                  <a:schemeClr val="accent1"/>
                </a:solidFill>
              </a:ln>
              <a:effectLst/>
            </c:spPr>
            <c:extLst>
              <c:ext xmlns:c16="http://schemas.microsoft.com/office/drawing/2014/chart" uri="{C3380CC4-5D6E-409C-BE32-E72D297353CC}">
                <c16:uniqueId val="{0000000B-CD61-4EA6-8AC2-717704374526}"/>
              </c:ext>
            </c:extLst>
          </c:dPt>
          <c:dLbls>
            <c:spPr>
              <a:no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outEnd"/>
            <c:showLegendKey val="1"/>
            <c:showVal val="1"/>
            <c:showCatName val="0"/>
            <c:showSerName val="0"/>
            <c:showPercent val="0"/>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Sheet1!$A$2:$A$7</c:f>
              <c:strCache>
                <c:ptCount val="5"/>
                <c:pt idx="0">
                  <c:v>China</c:v>
                </c:pt>
                <c:pt idx="1">
                  <c:v>El Salvador</c:v>
                </c:pt>
                <c:pt idx="2">
                  <c:v>Honduras</c:v>
                </c:pt>
                <c:pt idx="3">
                  <c:v>Guatemala</c:v>
                </c:pt>
                <c:pt idx="4">
                  <c:v>Other</c:v>
                </c:pt>
              </c:strCache>
            </c:strRef>
          </c:cat>
          <c:val>
            <c:numRef>
              <c:f>Sheet1!$B$2:$B$7</c:f>
              <c:numCache>
                <c:formatCode>#,##0</c:formatCode>
                <c:ptCount val="6"/>
                <c:pt idx="0">
                  <c:v>2794</c:v>
                </c:pt>
                <c:pt idx="1">
                  <c:v>1355</c:v>
                </c:pt>
                <c:pt idx="2" formatCode="General">
                  <c:v>955</c:v>
                </c:pt>
                <c:pt idx="3" formatCode="General">
                  <c:v>951</c:v>
                </c:pt>
                <c:pt idx="4">
                  <c:v>4599</c:v>
                </c:pt>
              </c:numCache>
            </c:numRef>
          </c:val>
          <c:extLst>
            <c:ext xmlns:c16="http://schemas.microsoft.com/office/drawing/2014/chart" uri="{C3380CC4-5D6E-409C-BE32-E72D297353CC}">
              <c16:uniqueId val="{0000000C-CD61-4EA6-8AC2-717704374526}"/>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Sheet1!$B$1</c:f>
              <c:strCache>
                <c:ptCount val="1"/>
                <c:pt idx="0">
                  <c:v>Grants</c:v>
                </c:pt>
              </c:strCache>
            </c:strRef>
          </c:tx>
          <c:spPr>
            <a:solidFill>
              <a:schemeClr val="accent1">
                <a:lumMod val="60000"/>
                <a:lumOff val="40000"/>
              </a:schemeClr>
            </a:solidFill>
            <a:ln w="6350">
              <a:solidFill>
                <a:schemeClr val="tx1"/>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strCache>
            </c:strRef>
          </c:cat>
          <c:val>
            <c:numRef>
              <c:f>Sheet1!$B$2:$B$13</c:f>
              <c:numCache>
                <c:formatCode>General</c:formatCode>
                <c:ptCount val="12"/>
                <c:pt idx="0" formatCode="#,##0">
                  <c:v>2571</c:v>
                </c:pt>
                <c:pt idx="1">
                  <c:v>2555</c:v>
                </c:pt>
                <c:pt idx="2">
                  <c:v>2055</c:v>
                </c:pt>
                <c:pt idx="3">
                  <c:v>1985</c:v>
                </c:pt>
                <c:pt idx="4">
                  <c:v>1881</c:v>
                </c:pt>
                <c:pt idx="5">
                  <c:v>2041</c:v>
                </c:pt>
                <c:pt idx="6">
                  <c:v>1910</c:v>
                </c:pt>
                <c:pt idx="7">
                  <c:v>1624</c:v>
                </c:pt>
                <c:pt idx="8">
                  <c:v>1436</c:v>
                </c:pt>
                <c:pt idx="9">
                  <c:v>1138</c:v>
                </c:pt>
                <c:pt idx="10">
                  <c:v>1049</c:v>
                </c:pt>
                <c:pt idx="11">
                  <c:v>1265</c:v>
                </c:pt>
              </c:numCache>
            </c:numRef>
          </c:val>
          <c:extLst>
            <c:ext xmlns:c16="http://schemas.microsoft.com/office/drawing/2014/chart" uri="{C3380CC4-5D6E-409C-BE32-E72D297353CC}">
              <c16:uniqueId val="{00000000-B1D0-47C4-80B5-FA491CA6FEFD}"/>
            </c:ext>
          </c:extLst>
        </c:ser>
        <c:ser>
          <c:idx val="1"/>
          <c:order val="1"/>
          <c:tx>
            <c:strRef>
              <c:f>Sheet1!$C$1</c:f>
              <c:strCache>
                <c:ptCount val="1"/>
                <c:pt idx="0">
                  <c:v>Denials</c:v>
                </c:pt>
              </c:strCache>
            </c:strRef>
          </c:tx>
          <c:spPr>
            <a:solidFill>
              <a:schemeClr val="accent2">
                <a:lumMod val="60000"/>
                <a:lumOff val="40000"/>
              </a:schemeClr>
            </a:solidFill>
            <a:ln w="6350">
              <a:solidFill>
                <a:schemeClr val="tx1"/>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strCache>
            </c:strRef>
          </c:cat>
          <c:val>
            <c:numRef>
              <c:f>Sheet1!$C$2:$C$13</c:f>
              <c:numCache>
                <c:formatCode>General</c:formatCode>
                <c:ptCount val="12"/>
                <c:pt idx="0">
                  <c:v>16778</c:v>
                </c:pt>
                <c:pt idx="1">
                  <c:v>14016</c:v>
                </c:pt>
                <c:pt idx="2">
                  <c:v>14016</c:v>
                </c:pt>
                <c:pt idx="3">
                  <c:v>11680</c:v>
                </c:pt>
                <c:pt idx="4">
                  <c:v>9919</c:v>
                </c:pt>
                <c:pt idx="5">
                  <c:v>11199</c:v>
                </c:pt>
                <c:pt idx="6">
                  <c:v>10269</c:v>
                </c:pt>
                <c:pt idx="7">
                  <c:v>9237</c:v>
                </c:pt>
                <c:pt idx="8">
                  <c:v>9529</c:v>
                </c:pt>
                <c:pt idx="9">
                  <c:v>8950</c:v>
                </c:pt>
                <c:pt idx="10">
                  <c:v>12013</c:v>
                </c:pt>
                <c:pt idx="11">
                  <c:v>17684</c:v>
                </c:pt>
              </c:numCache>
            </c:numRef>
          </c:val>
          <c:extLst>
            <c:ext xmlns:c16="http://schemas.microsoft.com/office/drawing/2014/chart" uri="{C3380CC4-5D6E-409C-BE32-E72D297353CC}">
              <c16:uniqueId val="{00000001-B1D0-47C4-80B5-FA491CA6FEFD}"/>
            </c:ext>
          </c:extLst>
        </c:ser>
        <c:dLbls>
          <c:showLegendKey val="0"/>
          <c:showVal val="0"/>
          <c:showCatName val="0"/>
          <c:showSerName val="0"/>
          <c:showPercent val="0"/>
          <c:showBubbleSize val="0"/>
        </c:dLbls>
        <c:axId val="-2132333048"/>
        <c:axId val="-2132345048"/>
      </c:areaChart>
      <c:catAx>
        <c:axId val="-21323330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2345048"/>
        <c:crosses val="autoZero"/>
        <c:auto val="1"/>
        <c:lblAlgn val="ctr"/>
        <c:lblOffset val="100"/>
        <c:noMultiLvlLbl val="0"/>
      </c:catAx>
      <c:valAx>
        <c:axId val="-2132345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233304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Sheet1!$B$1</c:f>
              <c:strCache>
                <c:ptCount val="1"/>
                <c:pt idx="0">
                  <c:v>Denials of both asylum and withholding</c:v>
                </c:pt>
              </c:strCache>
            </c:strRef>
          </c:tx>
          <c:spPr>
            <a:solidFill>
              <a:schemeClr val="accent1">
                <a:lumMod val="60000"/>
                <a:lumOff val="40000"/>
              </a:schemeClr>
            </a:solidFill>
            <a:ln w="6350">
              <a:solidFill>
                <a:schemeClr val="tx1"/>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strCache>
            </c:strRef>
          </c:cat>
          <c:val>
            <c:numRef>
              <c:f>Sheet1!$B$2:$B$13</c:f>
              <c:numCache>
                <c:formatCode>#,##0</c:formatCode>
                <c:ptCount val="12"/>
                <c:pt idx="0">
                  <c:v>14452</c:v>
                </c:pt>
                <c:pt idx="1">
                  <c:v>13048</c:v>
                </c:pt>
                <c:pt idx="2">
                  <c:v>11632</c:v>
                </c:pt>
                <c:pt idx="3">
                  <c:v>9626</c:v>
                </c:pt>
                <c:pt idx="4">
                  <c:v>7922</c:v>
                </c:pt>
                <c:pt idx="5">
                  <c:v>8690</c:v>
                </c:pt>
                <c:pt idx="6">
                  <c:v>7850</c:v>
                </c:pt>
                <c:pt idx="7">
                  <c:v>7298</c:v>
                </c:pt>
                <c:pt idx="8">
                  <c:v>7925</c:v>
                </c:pt>
                <c:pt idx="9">
                  <c:v>7713</c:v>
                </c:pt>
                <c:pt idx="10">
                  <c:v>10728</c:v>
                </c:pt>
                <c:pt idx="11">
                  <c:v>16197</c:v>
                </c:pt>
              </c:numCache>
            </c:numRef>
          </c:val>
          <c:extLst>
            <c:ext xmlns:c16="http://schemas.microsoft.com/office/drawing/2014/chart" uri="{C3380CC4-5D6E-409C-BE32-E72D297353CC}">
              <c16:uniqueId val="{00000000-1773-4236-92B2-3D3EE89F0C5B}"/>
            </c:ext>
          </c:extLst>
        </c:ser>
        <c:ser>
          <c:idx val="1"/>
          <c:order val="1"/>
          <c:tx>
            <c:strRef>
              <c:f>Sheet1!$C$1</c:f>
              <c:strCache>
                <c:ptCount val="1"/>
                <c:pt idx="0">
                  <c:v>Withholding grants</c:v>
                </c:pt>
              </c:strCache>
            </c:strRef>
          </c:tx>
          <c:spPr>
            <a:solidFill>
              <a:schemeClr val="accent2">
                <a:lumMod val="60000"/>
                <a:lumOff val="40000"/>
              </a:schemeClr>
            </a:solidFill>
            <a:ln w="6350">
              <a:solidFill>
                <a:schemeClr val="tx1"/>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strCache>
            </c:strRef>
          </c:cat>
          <c:val>
            <c:numRef>
              <c:f>Sheet1!$C$2:$C$13</c:f>
              <c:numCache>
                <c:formatCode>#,##0</c:formatCode>
                <c:ptCount val="12"/>
                <c:pt idx="0">
                  <c:v>2571</c:v>
                </c:pt>
                <c:pt idx="1">
                  <c:v>2555</c:v>
                </c:pt>
                <c:pt idx="2">
                  <c:v>2055</c:v>
                </c:pt>
                <c:pt idx="3">
                  <c:v>1985</c:v>
                </c:pt>
                <c:pt idx="4">
                  <c:v>1881</c:v>
                </c:pt>
                <c:pt idx="5">
                  <c:v>2041</c:v>
                </c:pt>
                <c:pt idx="6">
                  <c:v>1910</c:v>
                </c:pt>
                <c:pt idx="7">
                  <c:v>1624</c:v>
                </c:pt>
                <c:pt idx="8">
                  <c:v>1436</c:v>
                </c:pt>
                <c:pt idx="9">
                  <c:v>1138</c:v>
                </c:pt>
                <c:pt idx="10">
                  <c:v>1049</c:v>
                </c:pt>
                <c:pt idx="11">
                  <c:v>1265</c:v>
                </c:pt>
              </c:numCache>
            </c:numRef>
          </c:val>
          <c:extLst>
            <c:ext xmlns:c16="http://schemas.microsoft.com/office/drawing/2014/chart" uri="{C3380CC4-5D6E-409C-BE32-E72D297353CC}">
              <c16:uniqueId val="{00000001-1773-4236-92B2-3D3EE89F0C5B}"/>
            </c:ext>
          </c:extLst>
        </c:ser>
        <c:ser>
          <c:idx val="2"/>
          <c:order val="2"/>
          <c:tx>
            <c:strRef>
              <c:f>Sheet1!$D$1</c:f>
              <c:strCache>
                <c:ptCount val="1"/>
                <c:pt idx="0">
                  <c:v>Asylum grants</c:v>
                </c:pt>
              </c:strCache>
            </c:strRef>
          </c:tx>
          <c:spPr>
            <a:solidFill>
              <a:schemeClr val="accent3"/>
            </a:solidFill>
            <a:ln w="6350">
              <a:solidFill>
                <a:schemeClr val="tx1"/>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strCache>
            </c:strRef>
          </c:cat>
          <c:val>
            <c:numRef>
              <c:f>Sheet1!$D$2:$D$13</c:f>
              <c:numCache>
                <c:formatCode>#,##0</c:formatCode>
                <c:ptCount val="12"/>
                <c:pt idx="0">
                  <c:v>13304</c:v>
                </c:pt>
                <c:pt idx="1">
                  <c:v>12859</c:v>
                </c:pt>
                <c:pt idx="2">
                  <c:v>10892</c:v>
                </c:pt>
                <c:pt idx="3">
                  <c:v>10300</c:v>
                </c:pt>
                <c:pt idx="4">
                  <c:v>9904</c:v>
                </c:pt>
                <c:pt idx="5">
                  <c:v>11528</c:v>
                </c:pt>
                <c:pt idx="6">
                  <c:v>11978</c:v>
                </c:pt>
                <c:pt idx="7">
                  <c:v>9753</c:v>
                </c:pt>
                <c:pt idx="8">
                  <c:v>8638</c:v>
                </c:pt>
                <c:pt idx="9">
                  <c:v>8170</c:v>
                </c:pt>
                <c:pt idx="10">
                  <c:v>8730</c:v>
                </c:pt>
                <c:pt idx="11">
                  <c:v>10654</c:v>
                </c:pt>
              </c:numCache>
            </c:numRef>
          </c:val>
          <c:extLst>
            <c:ext xmlns:c16="http://schemas.microsoft.com/office/drawing/2014/chart" uri="{C3380CC4-5D6E-409C-BE32-E72D297353CC}">
              <c16:uniqueId val="{00000002-1773-4236-92B2-3D3EE89F0C5B}"/>
            </c:ext>
          </c:extLst>
        </c:ser>
        <c:dLbls>
          <c:showLegendKey val="0"/>
          <c:showVal val="0"/>
          <c:showCatName val="0"/>
          <c:showSerName val="0"/>
          <c:showPercent val="0"/>
          <c:showBubbleSize val="0"/>
        </c:dLbls>
        <c:axId val="-2132650456"/>
        <c:axId val="-2132671240"/>
      </c:areaChart>
      <c:catAx>
        <c:axId val="-21326504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2671240"/>
        <c:crosses val="autoZero"/>
        <c:auto val="1"/>
        <c:lblAlgn val="ctr"/>
        <c:lblOffset val="100"/>
        <c:noMultiLvlLbl val="0"/>
      </c:catAx>
      <c:valAx>
        <c:axId val="-2132671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265045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alpha val="40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'[Chart in Microsoft Word]Sheet1'!$B$1</c:f>
              <c:strCache>
                <c:ptCount val="1"/>
                <c:pt idx="0">
                  <c:v>Granted</c:v>
                </c:pt>
              </c:strCache>
            </c:strRef>
          </c:tx>
          <c:spPr>
            <a:solidFill>
              <a:schemeClr val="accent1"/>
            </a:solidFill>
            <a:ln w="6350">
              <a:solidFill>
                <a:schemeClr val="tx1"/>
              </a:solidFill>
            </a:ln>
            <a:effectLst/>
          </c:spPr>
          <c:dLbls>
            <c:dLbl>
              <c:idx val="0"/>
              <c:layout>
                <c:manualLayout>
                  <c:x val="1.2446190177785909E-2"/>
                  <c:y val="-3.74753422575794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5A4-448F-AB7F-D687B0CEB768}"/>
                </c:ext>
              </c:extLst>
            </c:dLbl>
            <c:dLbl>
              <c:idx val="1"/>
              <c:layout>
                <c:manualLayout>
                  <c:x val="1.629839409523265E-17"/>
                  <c:y val="-3.21217219350680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5A4-448F-AB7F-D687B0CEB768}"/>
                </c:ext>
              </c:extLst>
            </c:dLbl>
            <c:dLbl>
              <c:idx val="2"/>
              <c:layout>
                <c:manualLayout>
                  <c:x val="1.7779803775137073E-3"/>
                  <c:y val="-2.40643710592904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5A4-448F-AB7F-D687B0CEB768}"/>
                </c:ext>
              </c:extLst>
            </c:dLbl>
            <c:dLbl>
              <c:idx val="3"/>
              <c:layout>
                <c:manualLayout>
                  <c:x val="1.7780271682550656E-3"/>
                  <c:y val="-2.67681016125567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5A4-448F-AB7F-D687B0CEB768}"/>
                </c:ext>
              </c:extLst>
            </c:dLbl>
            <c:dLbl>
              <c:idx val="4"/>
              <c:layout>
                <c:manualLayout>
                  <c:x val="1.7747662339403967E-3"/>
                  <c:y val="-2.40779282127542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5A4-448F-AB7F-D687B0CEB768}"/>
                </c:ext>
              </c:extLst>
            </c:dLbl>
            <c:dLbl>
              <c:idx val="5"/>
              <c:layout>
                <c:manualLayout>
                  <c:x val="-6.5074010170631793E-17"/>
                  <c:y val="-3.4973219326146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5A4-448F-AB7F-D687B0CEB768}"/>
                </c:ext>
              </c:extLst>
            </c:dLbl>
            <c:dLbl>
              <c:idx val="6"/>
              <c:layout>
                <c:manualLayout>
                  <c:x val="-6.5074010170631793E-17"/>
                  <c:y val="-2.95927240452004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5A4-448F-AB7F-D687B0CEB768}"/>
                </c:ext>
              </c:extLst>
            </c:dLbl>
            <c:dLbl>
              <c:idx val="7"/>
              <c:layout>
                <c:manualLayout>
                  <c:x val="0"/>
                  <c:y val="-2.69024764047276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5A4-448F-AB7F-D687B0CEB768}"/>
                </c:ext>
              </c:extLst>
            </c:dLbl>
            <c:dLbl>
              <c:idx val="8"/>
              <c:layout>
                <c:manualLayout>
                  <c:x val="-1.3014802034126359E-16"/>
                  <c:y val="-3.2282971685673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5A4-448F-AB7F-D687B0CEB768}"/>
                </c:ext>
              </c:extLst>
            </c:dLbl>
            <c:dLbl>
              <c:idx val="9"/>
              <c:layout>
                <c:manualLayout>
                  <c:x val="0"/>
                  <c:y val="-2.69024764047275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5A4-448F-AB7F-D687B0CEB768}"/>
                </c:ext>
              </c:extLst>
            </c:dLbl>
            <c:dLbl>
              <c:idx val="10"/>
              <c:layout>
                <c:manualLayout>
                  <c:x val="0"/>
                  <c:y val="-2.42122287642547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5A4-448F-AB7F-D687B0CEB768}"/>
                </c:ext>
              </c:extLst>
            </c:dLbl>
            <c:dLbl>
              <c:idx val="11"/>
              <c:layout>
                <c:manualLayout>
                  <c:x val="-7.0990649357618469E-3"/>
                  <c:y val="-2.69024764047276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5A4-448F-AB7F-D687B0CEB76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Word]Sheet1'!$A$2:$A$13</c:f>
              <c:strCach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strCache>
            </c:strRef>
          </c:cat>
          <c:val>
            <c:numRef>
              <c:f>'[Chart in Microsoft Word]Sheet1'!$B$2:$B$13</c:f>
              <c:numCache>
                <c:formatCode>General</c:formatCode>
                <c:ptCount val="12"/>
                <c:pt idx="0">
                  <c:v>578</c:v>
                </c:pt>
                <c:pt idx="1">
                  <c:v>541</c:v>
                </c:pt>
                <c:pt idx="2">
                  <c:v>501</c:v>
                </c:pt>
                <c:pt idx="3">
                  <c:v>504</c:v>
                </c:pt>
                <c:pt idx="4">
                  <c:v>489</c:v>
                </c:pt>
                <c:pt idx="5">
                  <c:v>629</c:v>
                </c:pt>
                <c:pt idx="6">
                  <c:v>643</c:v>
                </c:pt>
                <c:pt idx="7">
                  <c:v>506</c:v>
                </c:pt>
                <c:pt idx="8">
                  <c:v>536</c:v>
                </c:pt>
                <c:pt idx="9">
                  <c:v>504</c:v>
                </c:pt>
                <c:pt idx="10">
                  <c:v>621</c:v>
                </c:pt>
                <c:pt idx="11">
                  <c:v>935</c:v>
                </c:pt>
              </c:numCache>
            </c:numRef>
          </c:val>
          <c:extLst>
            <c:ext xmlns:c16="http://schemas.microsoft.com/office/drawing/2014/chart" uri="{C3380CC4-5D6E-409C-BE32-E72D297353CC}">
              <c16:uniqueId val="{0000000C-D5A4-448F-AB7F-D687B0CEB768}"/>
            </c:ext>
          </c:extLst>
        </c:ser>
        <c:ser>
          <c:idx val="1"/>
          <c:order val="1"/>
          <c:tx>
            <c:strRef>
              <c:f>'[Chart in Microsoft Word]Sheet1'!$C$1</c:f>
              <c:strCache>
                <c:ptCount val="1"/>
                <c:pt idx="0">
                  <c:v>Denied</c:v>
                </c:pt>
              </c:strCache>
            </c:strRef>
          </c:tx>
          <c:spPr>
            <a:solidFill>
              <a:schemeClr val="accent2">
                <a:lumMod val="60000"/>
                <a:lumOff val="40000"/>
              </a:schemeClr>
            </a:solidFill>
            <a:ln w="6350">
              <a:solidFill>
                <a:schemeClr val="tx1"/>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Word]Sheet1'!$A$2:$A$13</c:f>
              <c:strCach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strCache>
            </c:strRef>
          </c:cat>
          <c:val>
            <c:numRef>
              <c:f>'[Chart in Microsoft Word]Sheet1'!$C$2:$C$13</c:f>
              <c:numCache>
                <c:formatCode>#,##0</c:formatCode>
                <c:ptCount val="12"/>
                <c:pt idx="0">
                  <c:v>15905</c:v>
                </c:pt>
                <c:pt idx="1">
                  <c:v>13874</c:v>
                </c:pt>
                <c:pt idx="2">
                  <c:v>12661</c:v>
                </c:pt>
                <c:pt idx="3">
                  <c:v>10894</c:v>
                </c:pt>
                <c:pt idx="4">
                  <c:v>9082</c:v>
                </c:pt>
                <c:pt idx="5">
                  <c:v>10492</c:v>
                </c:pt>
                <c:pt idx="6">
                  <c:v>9710</c:v>
                </c:pt>
                <c:pt idx="7">
                  <c:v>9575</c:v>
                </c:pt>
                <c:pt idx="8">
                  <c:v>10602</c:v>
                </c:pt>
                <c:pt idx="9">
                  <c:v>9858</c:v>
                </c:pt>
                <c:pt idx="10">
                  <c:v>12323</c:v>
                </c:pt>
                <c:pt idx="11">
                  <c:v>17061</c:v>
                </c:pt>
              </c:numCache>
            </c:numRef>
          </c:val>
          <c:extLst>
            <c:ext xmlns:c16="http://schemas.microsoft.com/office/drawing/2014/chart" uri="{C3380CC4-5D6E-409C-BE32-E72D297353CC}">
              <c16:uniqueId val="{0000000D-D5A4-448F-AB7F-D687B0CEB768}"/>
            </c:ext>
          </c:extLst>
        </c:ser>
        <c:ser>
          <c:idx val="2"/>
          <c:order val="2"/>
          <c:tx>
            <c:strRef>
              <c:f>'[Chart in Microsoft Word]Sheet1'!$D$1</c:f>
              <c:strCache>
                <c:ptCount val="1"/>
                <c:pt idx="0">
                  <c:v>Otherwise Resolved</c:v>
                </c:pt>
              </c:strCache>
            </c:strRef>
          </c:tx>
          <c:spPr>
            <a:solidFill>
              <a:schemeClr val="accent3">
                <a:lumMod val="60000"/>
                <a:lumOff val="40000"/>
              </a:schemeClr>
            </a:solidFill>
            <a:ln w="6350">
              <a:solidFill>
                <a:schemeClr val="tx1"/>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Word]Sheet1'!$A$2:$A$13</c:f>
              <c:strCach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strCache>
            </c:strRef>
          </c:cat>
          <c:val>
            <c:numRef>
              <c:f>'[Chart in Microsoft Word]Sheet1'!$D$2:$D$13</c:f>
              <c:numCache>
                <c:formatCode>#,##0</c:formatCode>
                <c:ptCount val="12"/>
                <c:pt idx="0">
                  <c:v>14881</c:v>
                </c:pt>
                <c:pt idx="1">
                  <c:v>13715</c:v>
                </c:pt>
                <c:pt idx="2">
                  <c:v>13966</c:v>
                </c:pt>
                <c:pt idx="3">
                  <c:v>14267</c:v>
                </c:pt>
                <c:pt idx="4">
                  <c:v>15183</c:v>
                </c:pt>
                <c:pt idx="5">
                  <c:v>16123</c:v>
                </c:pt>
                <c:pt idx="6">
                  <c:v>19443</c:v>
                </c:pt>
                <c:pt idx="7">
                  <c:v>16236</c:v>
                </c:pt>
                <c:pt idx="8">
                  <c:v>15256</c:v>
                </c:pt>
                <c:pt idx="9">
                  <c:v>19813</c:v>
                </c:pt>
                <c:pt idx="10">
                  <c:v>24116</c:v>
                </c:pt>
                <c:pt idx="11">
                  <c:v>33762</c:v>
                </c:pt>
              </c:numCache>
            </c:numRef>
          </c:val>
          <c:extLst>
            <c:ext xmlns:c16="http://schemas.microsoft.com/office/drawing/2014/chart" uri="{C3380CC4-5D6E-409C-BE32-E72D297353CC}">
              <c16:uniqueId val="{0000000E-D5A4-448F-AB7F-D687B0CEB768}"/>
            </c:ext>
          </c:extLst>
        </c:ser>
        <c:dLbls>
          <c:showLegendKey val="0"/>
          <c:showVal val="0"/>
          <c:showCatName val="0"/>
          <c:showSerName val="0"/>
          <c:showPercent val="0"/>
          <c:showBubbleSize val="0"/>
        </c:dLbls>
        <c:axId val="2119778304"/>
        <c:axId val="2119782048"/>
      </c:areaChart>
      <c:catAx>
        <c:axId val="21197783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9782048"/>
        <c:crosses val="autoZero"/>
        <c:auto val="1"/>
        <c:lblAlgn val="ctr"/>
        <c:lblOffset val="100"/>
        <c:noMultiLvlLbl val="0"/>
      </c:catAx>
      <c:valAx>
        <c:axId val="2119782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977830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Sheet1!$B$1</c:f>
              <c:strCache>
                <c:ptCount val="1"/>
                <c:pt idx="0">
                  <c:v>Withholding</c:v>
                </c:pt>
              </c:strCache>
            </c:strRef>
          </c:tx>
          <c:spPr>
            <a:solidFill>
              <a:schemeClr val="accent1">
                <a:lumMod val="60000"/>
                <a:lumOff val="40000"/>
              </a:schemeClr>
            </a:solidFill>
            <a:ln w="6350">
              <a:solidFill>
                <a:schemeClr val="tx1"/>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strCache>
            </c:strRef>
          </c:cat>
          <c:val>
            <c:numRef>
              <c:f>Sheet1!$B$2:$B$13</c:f>
              <c:numCache>
                <c:formatCode>General</c:formatCode>
                <c:ptCount val="12"/>
                <c:pt idx="0">
                  <c:v>405</c:v>
                </c:pt>
                <c:pt idx="1">
                  <c:v>449</c:v>
                </c:pt>
                <c:pt idx="2">
                  <c:v>378</c:v>
                </c:pt>
                <c:pt idx="3">
                  <c:v>394</c:v>
                </c:pt>
                <c:pt idx="4">
                  <c:v>395</c:v>
                </c:pt>
                <c:pt idx="5">
                  <c:v>493</c:v>
                </c:pt>
                <c:pt idx="6">
                  <c:v>514</c:v>
                </c:pt>
                <c:pt idx="7">
                  <c:v>375</c:v>
                </c:pt>
                <c:pt idx="8">
                  <c:v>415</c:v>
                </c:pt>
                <c:pt idx="9">
                  <c:v>504</c:v>
                </c:pt>
                <c:pt idx="10">
                  <c:v>481</c:v>
                </c:pt>
                <c:pt idx="11">
                  <c:v>760</c:v>
                </c:pt>
              </c:numCache>
            </c:numRef>
          </c:val>
          <c:extLst>
            <c:ext xmlns:c16="http://schemas.microsoft.com/office/drawing/2014/chart" uri="{C3380CC4-5D6E-409C-BE32-E72D297353CC}">
              <c16:uniqueId val="{00000000-4824-45D7-8975-B4424475F865}"/>
            </c:ext>
          </c:extLst>
        </c:ser>
        <c:ser>
          <c:idx val="1"/>
          <c:order val="1"/>
          <c:tx>
            <c:strRef>
              <c:f>Sheet1!$C$1</c:f>
              <c:strCache>
                <c:ptCount val="1"/>
                <c:pt idx="0">
                  <c:v>Deferral</c:v>
                </c:pt>
              </c:strCache>
            </c:strRef>
          </c:tx>
          <c:spPr>
            <a:solidFill>
              <a:schemeClr val="accent2">
                <a:lumMod val="60000"/>
                <a:lumOff val="40000"/>
              </a:schemeClr>
            </a:solidFill>
            <a:ln w="6350">
              <a:solidFill>
                <a:schemeClr val="tx1"/>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strCache>
            </c:strRef>
          </c:cat>
          <c:val>
            <c:numRef>
              <c:f>Sheet1!$C$2:$C$13</c:f>
              <c:numCache>
                <c:formatCode>General</c:formatCode>
                <c:ptCount val="12"/>
                <c:pt idx="0">
                  <c:v>173</c:v>
                </c:pt>
                <c:pt idx="1">
                  <c:v>92</c:v>
                </c:pt>
                <c:pt idx="2">
                  <c:v>123</c:v>
                </c:pt>
                <c:pt idx="3">
                  <c:v>110</c:v>
                </c:pt>
                <c:pt idx="4">
                  <c:v>94</c:v>
                </c:pt>
                <c:pt idx="5">
                  <c:v>136</c:v>
                </c:pt>
                <c:pt idx="6">
                  <c:v>129</c:v>
                </c:pt>
                <c:pt idx="7">
                  <c:v>131</c:v>
                </c:pt>
                <c:pt idx="8">
                  <c:v>121</c:v>
                </c:pt>
                <c:pt idx="9">
                  <c:v>121</c:v>
                </c:pt>
                <c:pt idx="10">
                  <c:v>140</c:v>
                </c:pt>
                <c:pt idx="11">
                  <c:v>175</c:v>
                </c:pt>
              </c:numCache>
            </c:numRef>
          </c:val>
          <c:extLst>
            <c:ext xmlns:c16="http://schemas.microsoft.com/office/drawing/2014/chart" uri="{C3380CC4-5D6E-409C-BE32-E72D297353CC}">
              <c16:uniqueId val="{00000001-4824-45D7-8975-B4424475F865}"/>
            </c:ext>
          </c:extLst>
        </c:ser>
        <c:dLbls>
          <c:showLegendKey val="0"/>
          <c:showVal val="0"/>
          <c:showCatName val="0"/>
          <c:showSerName val="0"/>
          <c:showPercent val="0"/>
          <c:showBubbleSize val="0"/>
        </c:dLbls>
        <c:axId val="-2130952472"/>
        <c:axId val="-2131015432"/>
      </c:areaChart>
      <c:catAx>
        <c:axId val="-21309524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1015432"/>
        <c:crosses val="autoZero"/>
        <c:auto val="1"/>
        <c:lblAlgn val="ctr"/>
        <c:lblOffset val="100"/>
        <c:noMultiLvlLbl val="0"/>
      </c:catAx>
      <c:valAx>
        <c:axId val="-2131015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095247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Sheet1!$C$1</c:f>
              <c:strCache>
                <c:ptCount val="1"/>
                <c:pt idx="0">
                  <c:v>Number of admitted refugees</c:v>
                </c:pt>
              </c:strCache>
            </c:strRef>
          </c:tx>
          <c:spPr>
            <a:ln w="28575" cap="rnd">
              <a:solidFill>
                <a:schemeClr val="accent6"/>
              </a:solidFill>
              <a:round/>
            </a:ln>
            <a:effectLst/>
          </c:spPr>
          <c:marker>
            <c:symbol val="circle"/>
            <c:size val="3"/>
            <c:spPr>
              <a:solidFill>
                <a:schemeClr val="accent6"/>
              </a:solidFill>
              <a:ln w="9525">
                <a:solidFill>
                  <a:schemeClr val="accent6"/>
                </a:solidFill>
              </a:ln>
              <a:effectLst/>
            </c:spPr>
          </c:marker>
          <c:cat>
            <c:numRef>
              <c:f>Sheet1!$A$2:$A$42</c:f>
              <c:numCache>
                <c:formatCode>General</c:formatCode>
                <c:ptCount val="41"/>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pt idx="38">
                  <c:v>2018</c:v>
                </c:pt>
                <c:pt idx="39">
                  <c:v>2019</c:v>
                </c:pt>
                <c:pt idx="40">
                  <c:v>2020</c:v>
                </c:pt>
              </c:numCache>
            </c:numRef>
          </c:cat>
          <c:val>
            <c:numRef>
              <c:f>Sheet1!$C$2:$C$42</c:f>
              <c:numCache>
                <c:formatCode>General</c:formatCode>
                <c:ptCount val="41"/>
                <c:pt idx="0">
                  <c:v>207116</c:v>
                </c:pt>
                <c:pt idx="1">
                  <c:v>159252</c:v>
                </c:pt>
                <c:pt idx="2">
                  <c:v>98096</c:v>
                </c:pt>
                <c:pt idx="3">
                  <c:v>61218</c:v>
                </c:pt>
                <c:pt idx="4">
                  <c:v>70393</c:v>
                </c:pt>
                <c:pt idx="5">
                  <c:v>67704</c:v>
                </c:pt>
                <c:pt idx="6">
                  <c:v>62146</c:v>
                </c:pt>
                <c:pt idx="7">
                  <c:v>64528</c:v>
                </c:pt>
                <c:pt idx="8">
                  <c:v>76483</c:v>
                </c:pt>
                <c:pt idx="9">
                  <c:v>107070</c:v>
                </c:pt>
                <c:pt idx="10">
                  <c:v>122066</c:v>
                </c:pt>
                <c:pt idx="11">
                  <c:v>113389</c:v>
                </c:pt>
                <c:pt idx="12">
                  <c:v>132531</c:v>
                </c:pt>
                <c:pt idx="13">
                  <c:v>119448</c:v>
                </c:pt>
                <c:pt idx="14">
                  <c:v>112981</c:v>
                </c:pt>
                <c:pt idx="15">
                  <c:v>99974</c:v>
                </c:pt>
                <c:pt idx="16">
                  <c:v>76403</c:v>
                </c:pt>
                <c:pt idx="17">
                  <c:v>70488</c:v>
                </c:pt>
                <c:pt idx="18">
                  <c:v>77080</c:v>
                </c:pt>
                <c:pt idx="19">
                  <c:v>85525</c:v>
                </c:pt>
                <c:pt idx="20">
                  <c:v>73147</c:v>
                </c:pt>
                <c:pt idx="21">
                  <c:v>69886</c:v>
                </c:pt>
                <c:pt idx="22">
                  <c:v>27131</c:v>
                </c:pt>
                <c:pt idx="23">
                  <c:v>28403</c:v>
                </c:pt>
                <c:pt idx="24">
                  <c:v>52873</c:v>
                </c:pt>
                <c:pt idx="25">
                  <c:v>53813</c:v>
                </c:pt>
                <c:pt idx="26">
                  <c:v>41223</c:v>
                </c:pt>
                <c:pt idx="27">
                  <c:v>48282</c:v>
                </c:pt>
                <c:pt idx="28">
                  <c:v>60191</c:v>
                </c:pt>
                <c:pt idx="29">
                  <c:v>74654</c:v>
                </c:pt>
                <c:pt idx="30">
                  <c:v>73311</c:v>
                </c:pt>
                <c:pt idx="31">
                  <c:v>56424</c:v>
                </c:pt>
                <c:pt idx="32">
                  <c:v>58238</c:v>
                </c:pt>
                <c:pt idx="33">
                  <c:v>69926</c:v>
                </c:pt>
                <c:pt idx="34">
                  <c:v>69987</c:v>
                </c:pt>
                <c:pt idx="35">
                  <c:v>69933</c:v>
                </c:pt>
                <c:pt idx="36">
                  <c:v>84995</c:v>
                </c:pt>
                <c:pt idx="37">
                  <c:v>53716</c:v>
                </c:pt>
                <c:pt idx="38">
                  <c:v>22491</c:v>
                </c:pt>
              </c:numCache>
            </c:numRef>
          </c:val>
          <c:smooth val="0"/>
          <c:extLst>
            <c:ext xmlns:c16="http://schemas.microsoft.com/office/drawing/2014/chart" uri="{C3380CC4-5D6E-409C-BE32-E72D297353CC}">
              <c16:uniqueId val="{00000000-734C-45B0-9129-90CB6C539769}"/>
            </c:ext>
          </c:extLst>
        </c:ser>
        <c:dLbls>
          <c:showLegendKey val="0"/>
          <c:showVal val="0"/>
          <c:showCatName val="0"/>
          <c:showSerName val="0"/>
          <c:showPercent val="0"/>
          <c:showBubbleSize val="0"/>
        </c:dLbls>
        <c:marker val="1"/>
        <c:smooth val="0"/>
        <c:axId val="1101664511"/>
        <c:axId val="1101662015"/>
      </c:lineChart>
      <c:lineChart>
        <c:grouping val="standard"/>
        <c:varyColors val="0"/>
        <c:ser>
          <c:idx val="0"/>
          <c:order val="0"/>
          <c:tx>
            <c:strRef>
              <c:f>Sheet1!$B$1</c:f>
              <c:strCache>
                <c:ptCount val="1"/>
                <c:pt idx="0">
                  <c:v>Annual Ceiling</c:v>
                </c:pt>
              </c:strCache>
            </c:strRef>
          </c:tx>
          <c:spPr>
            <a:ln w="28575" cap="rnd">
              <a:solidFill>
                <a:schemeClr val="accent1"/>
              </a:solidFill>
              <a:round/>
            </a:ln>
            <a:effectLst/>
          </c:spPr>
          <c:marker>
            <c:symbol val="circle"/>
            <c:size val="3"/>
            <c:spPr>
              <a:solidFill>
                <a:schemeClr val="accent1"/>
              </a:solidFill>
              <a:ln w="9525">
                <a:solidFill>
                  <a:schemeClr val="accent1"/>
                </a:solidFill>
              </a:ln>
              <a:effectLst/>
            </c:spPr>
          </c:marker>
          <c:cat>
            <c:numRef>
              <c:f>Sheet1!$A$2:$A$42</c:f>
              <c:numCache>
                <c:formatCode>General</c:formatCode>
                <c:ptCount val="41"/>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pt idx="38">
                  <c:v>2018</c:v>
                </c:pt>
                <c:pt idx="39">
                  <c:v>2019</c:v>
                </c:pt>
                <c:pt idx="40">
                  <c:v>2020</c:v>
                </c:pt>
              </c:numCache>
            </c:numRef>
          </c:cat>
          <c:val>
            <c:numRef>
              <c:f>Sheet1!$B$2:$B$42</c:f>
              <c:numCache>
                <c:formatCode>General</c:formatCode>
                <c:ptCount val="41"/>
                <c:pt idx="0">
                  <c:v>231700</c:v>
                </c:pt>
                <c:pt idx="1">
                  <c:v>217000</c:v>
                </c:pt>
                <c:pt idx="2">
                  <c:v>140000</c:v>
                </c:pt>
                <c:pt idx="3">
                  <c:v>90000</c:v>
                </c:pt>
                <c:pt idx="4">
                  <c:v>72000</c:v>
                </c:pt>
                <c:pt idx="5">
                  <c:v>70000</c:v>
                </c:pt>
                <c:pt idx="6">
                  <c:v>67000</c:v>
                </c:pt>
                <c:pt idx="7">
                  <c:v>70000</c:v>
                </c:pt>
                <c:pt idx="8">
                  <c:v>87500</c:v>
                </c:pt>
                <c:pt idx="9">
                  <c:v>116500</c:v>
                </c:pt>
                <c:pt idx="10">
                  <c:v>125000</c:v>
                </c:pt>
                <c:pt idx="11">
                  <c:v>131000</c:v>
                </c:pt>
                <c:pt idx="12">
                  <c:v>131000</c:v>
                </c:pt>
                <c:pt idx="13">
                  <c:v>142000</c:v>
                </c:pt>
                <c:pt idx="14">
                  <c:v>121000</c:v>
                </c:pt>
                <c:pt idx="15">
                  <c:v>112000</c:v>
                </c:pt>
                <c:pt idx="16">
                  <c:v>90000</c:v>
                </c:pt>
                <c:pt idx="17">
                  <c:v>78000</c:v>
                </c:pt>
                <c:pt idx="18">
                  <c:v>83000</c:v>
                </c:pt>
                <c:pt idx="19">
                  <c:v>91000</c:v>
                </c:pt>
                <c:pt idx="20">
                  <c:v>90000</c:v>
                </c:pt>
                <c:pt idx="21">
                  <c:v>80000</c:v>
                </c:pt>
                <c:pt idx="22">
                  <c:v>70000</c:v>
                </c:pt>
                <c:pt idx="23">
                  <c:v>70000</c:v>
                </c:pt>
                <c:pt idx="24">
                  <c:v>70000</c:v>
                </c:pt>
                <c:pt idx="25">
                  <c:v>70000</c:v>
                </c:pt>
                <c:pt idx="26">
                  <c:v>70000</c:v>
                </c:pt>
                <c:pt idx="27">
                  <c:v>70000</c:v>
                </c:pt>
                <c:pt idx="28">
                  <c:v>80000</c:v>
                </c:pt>
                <c:pt idx="29">
                  <c:v>80000</c:v>
                </c:pt>
                <c:pt idx="30">
                  <c:v>80000</c:v>
                </c:pt>
                <c:pt idx="31">
                  <c:v>80000</c:v>
                </c:pt>
                <c:pt idx="32">
                  <c:v>76000</c:v>
                </c:pt>
                <c:pt idx="33">
                  <c:v>70000</c:v>
                </c:pt>
                <c:pt idx="34">
                  <c:v>70000</c:v>
                </c:pt>
                <c:pt idx="35">
                  <c:v>70000</c:v>
                </c:pt>
                <c:pt idx="36">
                  <c:v>85000</c:v>
                </c:pt>
                <c:pt idx="37">
                  <c:v>50000</c:v>
                </c:pt>
                <c:pt idx="38">
                  <c:v>45000</c:v>
                </c:pt>
              </c:numCache>
            </c:numRef>
          </c:val>
          <c:smooth val="0"/>
          <c:extLst>
            <c:ext xmlns:c16="http://schemas.microsoft.com/office/drawing/2014/chart" uri="{C3380CC4-5D6E-409C-BE32-E72D297353CC}">
              <c16:uniqueId val="{00000001-734C-45B0-9129-90CB6C539769}"/>
            </c:ext>
          </c:extLst>
        </c:ser>
        <c:dLbls>
          <c:showLegendKey val="0"/>
          <c:showVal val="0"/>
          <c:showCatName val="0"/>
          <c:showSerName val="0"/>
          <c:showPercent val="0"/>
          <c:showBubbleSize val="0"/>
        </c:dLbls>
        <c:marker val="1"/>
        <c:smooth val="0"/>
        <c:axId val="1098735279"/>
        <c:axId val="1098749007"/>
      </c:lineChart>
      <c:catAx>
        <c:axId val="110166451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Fiscal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in"/>
        <c:minorTickMark val="none"/>
        <c:tickLblPos val="nextTo"/>
        <c:spPr>
          <a:noFill/>
          <a:ln w="9525" cap="flat" cmpd="sng" algn="ctr">
            <a:solidFill>
              <a:schemeClr val="accent1"/>
            </a:solidFill>
            <a:round/>
          </a:ln>
          <a:effectLst/>
        </c:spPr>
        <c:txPr>
          <a:bodyPr rot="-60000000" spcFirstLastPara="1" vertOverflow="ellipsis" vert="horz" wrap="square" anchor="ctr" anchorCtr="0"/>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1101662015"/>
        <c:crosses val="autoZero"/>
        <c:auto val="1"/>
        <c:lblAlgn val="ctr"/>
        <c:lblOffset val="100"/>
        <c:tickLblSkip val="5"/>
        <c:tickMarkSkip val="5"/>
        <c:noMultiLvlLbl val="0"/>
      </c:catAx>
      <c:valAx>
        <c:axId val="1101662015"/>
        <c:scaling>
          <c:orientation val="minMax"/>
          <c:max val="250000"/>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no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Refugees</a:t>
                </a:r>
                <a:r>
                  <a:rPr lang="en-US" baseline="0"/>
                  <a:t> Admitted</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1664511"/>
        <c:crosses val="autoZero"/>
        <c:crossBetween val="between"/>
        <c:majorUnit val="20000"/>
      </c:valAx>
      <c:valAx>
        <c:axId val="1098749007"/>
        <c:scaling>
          <c:orientation val="minMax"/>
        </c:scaling>
        <c:delete val="1"/>
        <c:axPos val="r"/>
        <c:numFmt formatCode="General" sourceLinked="1"/>
        <c:majorTickMark val="out"/>
        <c:minorTickMark val="none"/>
        <c:tickLblPos val="nextTo"/>
        <c:crossAx val="1098735279"/>
        <c:crosses val="max"/>
        <c:crossBetween val="between"/>
      </c:valAx>
      <c:catAx>
        <c:axId val="1098735279"/>
        <c:scaling>
          <c:orientation val="minMax"/>
        </c:scaling>
        <c:delete val="1"/>
        <c:axPos val="b"/>
        <c:numFmt formatCode="General" sourceLinked="1"/>
        <c:majorTickMark val="out"/>
        <c:minorTickMark val="none"/>
        <c:tickLblPos val="nextTo"/>
        <c:crossAx val="1098749007"/>
        <c:crosses val="autoZero"/>
        <c:auto val="1"/>
        <c:lblAlgn val="ctr"/>
        <c:lblOffset val="100"/>
        <c:noMultiLvlLbl val="0"/>
      </c:catAx>
      <c:spPr>
        <a:noFill/>
        <a:ln>
          <a:noFill/>
        </a:ln>
        <a:effectLst/>
      </c:spPr>
    </c:plotArea>
    <c:legend>
      <c:legendPos val="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F819-5FDA-42FF-88BA-2817CD4C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94</Pages>
  <Words>35828</Words>
  <Characters>204221</Characters>
  <Application>Microsoft Office Word</Application>
  <DocSecurity>0</DocSecurity>
  <Lines>1701</Lines>
  <Paragraphs>479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Maryellen Fullerton</dc:creator>
  <cp:lastModifiedBy>Motomura, Hiroshi</cp:lastModifiedBy>
  <cp:revision>71</cp:revision>
  <cp:lastPrinted>2017-07-25T18:12:00Z</cp:lastPrinted>
  <dcterms:created xsi:type="dcterms:W3CDTF">2018-08-03T19:36:00Z</dcterms:created>
  <dcterms:modified xsi:type="dcterms:W3CDTF">2019-08-06T19:59:00Z</dcterms:modified>
</cp:coreProperties>
</file>