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76E" w:rsidRPr="000A653B" w:rsidRDefault="000A653B" w:rsidP="000A653B">
      <w:pPr>
        <w:jc w:val="center"/>
        <w:rPr>
          <w:rFonts w:cstheme="minorHAnsi"/>
          <w:b/>
          <w:szCs w:val="24"/>
        </w:rPr>
      </w:pPr>
      <w:r w:rsidRPr="000A653B">
        <w:rPr>
          <w:rFonts w:cstheme="minorHAnsi"/>
          <w:b/>
          <w:szCs w:val="24"/>
        </w:rPr>
        <w:t>Fitbit – Google Merger</w:t>
      </w:r>
    </w:p>
    <w:p w:rsidR="000A653B" w:rsidRPr="000A653B" w:rsidRDefault="000A653B" w:rsidP="000A653B">
      <w:pPr>
        <w:jc w:val="center"/>
        <w:rPr>
          <w:rFonts w:cstheme="minorHAnsi"/>
          <w:b/>
          <w:szCs w:val="24"/>
        </w:rPr>
      </w:pPr>
      <w:r w:rsidRPr="000A653B">
        <w:rPr>
          <w:rFonts w:cstheme="minorHAnsi"/>
          <w:b/>
          <w:szCs w:val="24"/>
        </w:rPr>
        <w:t>Appraisal Rights</w:t>
      </w:r>
    </w:p>
    <w:p w:rsidR="000A653B" w:rsidRDefault="000A653B" w:rsidP="000A653B">
      <w:pPr>
        <w:rPr>
          <w:rFonts w:cstheme="minorHAnsi"/>
          <w:szCs w:val="24"/>
        </w:rPr>
      </w:pPr>
    </w:p>
    <w:p w:rsidR="000A653B" w:rsidRPr="000A653B" w:rsidRDefault="000A653B" w:rsidP="000A653B">
      <w:pPr>
        <w:rPr>
          <w:rFonts w:cstheme="minorHAnsi"/>
          <w:szCs w:val="24"/>
        </w:rPr>
      </w:pPr>
      <w:r w:rsidRPr="000A653B">
        <w:rPr>
          <w:rFonts w:cstheme="minorHAnsi"/>
          <w:szCs w:val="24"/>
        </w:rPr>
        <w:t>Preliminary Schedule 14A as filed by Fitbit, Inc. on November 25, 2019</w:t>
      </w:r>
    </w:p>
    <w:p w:rsidR="000A653B" w:rsidRPr="000A653B" w:rsidRDefault="000A653B" w:rsidP="000A653B">
      <w:pPr>
        <w:rPr>
          <w:rFonts w:cstheme="minorHAnsi"/>
          <w:szCs w:val="24"/>
        </w:rPr>
      </w:pPr>
    </w:p>
    <w:p w:rsidR="000A653B" w:rsidRPr="00A43A3C" w:rsidRDefault="000A653B" w:rsidP="000A653B">
      <w:pPr>
        <w:pBdr>
          <w:top w:val="single" w:sz="4" w:space="1" w:color="auto"/>
          <w:left w:val="single" w:sz="4" w:space="4" w:color="auto"/>
          <w:bottom w:val="single" w:sz="4" w:space="1" w:color="auto"/>
          <w:right w:val="single" w:sz="4" w:space="4" w:color="auto"/>
        </w:pBdr>
        <w:rPr>
          <w:rFonts w:eastAsia="Times New Roman" w:cstheme="minorHAnsi"/>
          <w:b/>
          <w:color w:val="3D3D3D"/>
          <w:sz w:val="20"/>
          <w:szCs w:val="20"/>
        </w:rPr>
      </w:pPr>
      <w:r w:rsidRPr="00A43A3C">
        <w:rPr>
          <w:rFonts w:eastAsia="Times New Roman" w:cstheme="minorHAnsi"/>
          <w:b/>
          <w:bCs/>
          <w:color w:val="3D3D3D"/>
          <w:sz w:val="20"/>
          <w:szCs w:val="20"/>
        </w:rPr>
        <w:t>Appraisal Rights</w:t>
      </w:r>
    </w:p>
    <w:p w:rsidR="000A653B" w:rsidRPr="00A43A3C" w:rsidRDefault="000A653B" w:rsidP="000A653B">
      <w:pPr>
        <w:pBdr>
          <w:top w:val="single" w:sz="4" w:space="1" w:color="auto"/>
          <w:left w:val="single" w:sz="4" w:space="4" w:color="auto"/>
          <w:bottom w:val="single" w:sz="4" w:space="1" w:color="auto"/>
          <w:right w:val="single" w:sz="4" w:space="4" w:color="auto"/>
        </w:pBdr>
        <w:rPr>
          <w:rFonts w:eastAsia="Times New Roman" w:cstheme="minorHAnsi"/>
          <w:color w:val="3D3D3D"/>
          <w:sz w:val="20"/>
          <w:szCs w:val="20"/>
        </w:rPr>
      </w:pPr>
      <w:r w:rsidRPr="00A43A3C">
        <w:rPr>
          <w:rFonts w:eastAsia="Times New Roman" w:cstheme="minorHAnsi"/>
          <w:color w:val="3D3D3D"/>
          <w:sz w:val="20"/>
          <w:szCs w:val="20"/>
        </w:rPr>
        <w:t>If the Merger is completed, stockholders who do not vote or submit a proxy in favor of the adoption of the Merger Agreement and who properly demand appraisal of their shares may be entitled to appraisal rights in connection with the Merger under Section 262 of the DGCL. This means that stockholders may be entitled to have their shares appraised by the Delaware Court of Chancery and to receive payment in cash of the “fair value” of their shares of Fitbit Common Stock, exclusive of any elements of value arising from the accomplishment or expectation of the Merger, together with interest, if any, to be paid on the amount determined to be the fair value. Due to the complexity of the appraisal process, stockholders who wish to seek appraisal of their shares are encouraged to seek the advice of legal counsel with respect to the exercise of appraisal rights.</w:t>
      </w:r>
    </w:p>
    <w:p w:rsidR="000A653B" w:rsidRPr="00A43A3C" w:rsidRDefault="000A653B" w:rsidP="000A653B">
      <w:pPr>
        <w:pBdr>
          <w:top w:val="single" w:sz="4" w:space="1" w:color="auto"/>
          <w:left w:val="single" w:sz="4" w:space="4" w:color="auto"/>
          <w:bottom w:val="single" w:sz="4" w:space="1" w:color="auto"/>
          <w:right w:val="single" w:sz="4" w:space="4" w:color="auto"/>
        </w:pBdr>
        <w:rPr>
          <w:rFonts w:eastAsia="Times New Roman" w:cstheme="minorHAnsi"/>
          <w:color w:val="3D3D3D"/>
          <w:sz w:val="20"/>
          <w:szCs w:val="20"/>
        </w:rPr>
      </w:pPr>
    </w:p>
    <w:p w:rsidR="000A653B" w:rsidRPr="00A43A3C" w:rsidRDefault="000A653B" w:rsidP="000A653B">
      <w:pPr>
        <w:pBdr>
          <w:top w:val="single" w:sz="4" w:space="1" w:color="auto"/>
          <w:left w:val="single" w:sz="4" w:space="4" w:color="auto"/>
          <w:bottom w:val="single" w:sz="4" w:space="1" w:color="auto"/>
          <w:right w:val="single" w:sz="4" w:space="4" w:color="auto"/>
        </w:pBdr>
        <w:rPr>
          <w:rFonts w:eastAsia="Times New Roman" w:cstheme="minorHAnsi"/>
          <w:b/>
          <w:color w:val="3D3D3D"/>
          <w:sz w:val="20"/>
          <w:szCs w:val="20"/>
        </w:rPr>
      </w:pPr>
      <w:r w:rsidRPr="00A43A3C">
        <w:rPr>
          <w:rFonts w:eastAsia="Times New Roman" w:cstheme="minorHAnsi"/>
          <w:b/>
          <w:bCs/>
          <w:i/>
          <w:iCs/>
          <w:color w:val="3D3D3D"/>
          <w:sz w:val="20"/>
          <w:szCs w:val="20"/>
        </w:rPr>
        <w:t>Stockholders considering seeking appraisal should be aware that the fair value of their shares as determined pursuant to Section 262 of the DGCL could be more than, the same as or less than the Merger Consideration.</w:t>
      </w:r>
    </w:p>
    <w:p w:rsidR="000A653B" w:rsidRPr="00A43A3C" w:rsidRDefault="000A653B" w:rsidP="000A653B">
      <w:pPr>
        <w:pBdr>
          <w:top w:val="single" w:sz="4" w:space="1" w:color="auto"/>
          <w:left w:val="single" w:sz="4" w:space="4" w:color="auto"/>
          <w:bottom w:val="single" w:sz="4" w:space="1" w:color="auto"/>
          <w:right w:val="single" w:sz="4" w:space="4" w:color="auto"/>
        </w:pBdr>
        <w:rPr>
          <w:rFonts w:eastAsia="Times New Roman" w:cstheme="minorHAnsi"/>
          <w:color w:val="3D3D3D"/>
          <w:sz w:val="20"/>
          <w:szCs w:val="20"/>
        </w:rPr>
      </w:pPr>
      <w:r w:rsidRPr="00A43A3C">
        <w:rPr>
          <w:rFonts w:eastAsia="Times New Roman" w:cstheme="minorHAnsi"/>
          <w:color w:val="3D3D3D"/>
          <w:sz w:val="20"/>
          <w:szCs w:val="20"/>
        </w:rPr>
        <w:t>To exercise your appraisal rights, you must (1) deliver a written demand for appraisal to us before the vote is taken on the proposal to adopt the Merger Agreement; (2) not vote or submit a proxy in favor of the proposal to adopt the Merger Agreement; and (3) continue to hold your shares of Fitbit Common Stock through the Effective Time. As such, merely voting against, abstaining or failing to vote on the proposal to adopt the Merger Agreement will not preserve your right to appraisal under the DGCL. Further, because a properly submitted proxy which does not include instructions on how to vote will be voted “</w:t>
      </w:r>
      <w:r w:rsidRPr="00A43A3C">
        <w:rPr>
          <w:rFonts w:eastAsia="Times New Roman" w:cstheme="minorHAnsi"/>
          <w:bCs/>
          <w:color w:val="3D3D3D"/>
          <w:sz w:val="20"/>
          <w:szCs w:val="20"/>
        </w:rPr>
        <w:t>FOR</w:t>
      </w:r>
      <w:r w:rsidRPr="00A43A3C">
        <w:rPr>
          <w:rFonts w:eastAsia="Times New Roman" w:cstheme="minorHAnsi"/>
          <w:color w:val="3D3D3D"/>
          <w:sz w:val="20"/>
          <w:szCs w:val="20"/>
        </w:rPr>
        <w:t>” the proposal to adopt the Merger Agreement, the submission of a proxy not marked “</w:t>
      </w:r>
      <w:r w:rsidRPr="00A43A3C">
        <w:rPr>
          <w:rFonts w:eastAsia="Times New Roman" w:cstheme="minorHAnsi"/>
          <w:bCs/>
          <w:color w:val="3D3D3D"/>
          <w:sz w:val="20"/>
          <w:szCs w:val="20"/>
        </w:rPr>
        <w:t>AGAINST</w:t>
      </w:r>
      <w:r w:rsidRPr="00A43A3C">
        <w:rPr>
          <w:rFonts w:eastAsia="Times New Roman" w:cstheme="minorHAnsi"/>
          <w:color w:val="3D3D3D"/>
          <w:sz w:val="20"/>
          <w:szCs w:val="20"/>
        </w:rPr>
        <w:t>” or “</w:t>
      </w:r>
      <w:r w:rsidRPr="00A43A3C">
        <w:rPr>
          <w:rFonts w:eastAsia="Times New Roman" w:cstheme="minorHAnsi"/>
          <w:bCs/>
          <w:color w:val="3D3D3D"/>
          <w:sz w:val="20"/>
          <w:szCs w:val="20"/>
        </w:rPr>
        <w:t>ABSTAIN</w:t>
      </w:r>
      <w:r w:rsidRPr="00A43A3C">
        <w:rPr>
          <w:rFonts w:eastAsia="Times New Roman" w:cstheme="minorHAnsi"/>
          <w:color w:val="3D3D3D"/>
          <w:sz w:val="20"/>
          <w:szCs w:val="20"/>
        </w:rPr>
        <w:t>” will result in a waiver of appraisal rights. Additionally, certain other conditions, as set forth in Section 262 of the DGCL and as briefly described herein, must be met. Your failure to follow exactly the procedures specified under the DGCL may result in the loss of your appraisal rights. The DGCL requirements for exercising appraisal rights are described in further detail in this proxy statement, and the relevant section of the DGCL regarding appraisal rights is reproduced in its entirety as Annex C to this proxy statement. Only a holder of record of shares of Fitbit Common Stock is entitled to demand appraisal rights for the shares registered in that holder’s name. If you hold your shares of Fitbit Common Stock through a bank, broker or other nominee and you wish to exercise appraisal rights, you should consult with your bank, broker or other nominee to determine the appropriate procedures for the making of a demand for appraisal on your behalf by your bank, broker or other nominee.</w:t>
      </w:r>
    </w:p>
    <w:p w:rsidR="000A653B" w:rsidRPr="000A653B" w:rsidRDefault="000A653B" w:rsidP="000A653B">
      <w:pPr>
        <w:rPr>
          <w:rFonts w:cstheme="minorHAnsi"/>
          <w:szCs w:val="24"/>
        </w:rPr>
      </w:pPr>
    </w:p>
    <w:p w:rsidR="000A653B" w:rsidRDefault="000A653B"/>
    <w:p w:rsidR="00A43A3C" w:rsidRDefault="00A43A3C">
      <w:r>
        <w:br w:type="page"/>
      </w:r>
    </w:p>
    <w:p w:rsidR="000A653B" w:rsidRDefault="000A653B"/>
    <w:p w:rsidR="000A653B" w:rsidRPr="000A653B" w:rsidRDefault="000A653B" w:rsidP="000A653B">
      <w:pPr>
        <w:rPr>
          <w:rFonts w:ascii="Times New Roman" w:eastAsia="Times New Roman" w:hAnsi="Times New Roman"/>
          <w:b/>
          <w:szCs w:val="24"/>
        </w:rPr>
      </w:pPr>
      <w:r w:rsidRPr="000A653B">
        <w:rPr>
          <w:rFonts w:eastAsia="Times New Roman"/>
          <w:b/>
          <w:szCs w:val="24"/>
        </w:rPr>
        <w:t>Appraisal Rights</w:t>
      </w:r>
    </w:p>
    <w:p w:rsidR="000A653B" w:rsidRPr="000A653B" w:rsidRDefault="000A653B" w:rsidP="000A653B">
      <w:pPr>
        <w:rPr>
          <w:rFonts w:ascii="Times New Roman" w:eastAsia="Times New Roman" w:hAnsi="Times New Roman"/>
          <w:szCs w:val="24"/>
        </w:rPr>
      </w:pPr>
      <w:r w:rsidRPr="000A653B">
        <w:rPr>
          <w:rFonts w:eastAsia="Times New Roman"/>
          <w:szCs w:val="24"/>
        </w:rPr>
        <w:t>If the Merger is completed, stockholders who do not vote or submit a proxy in favor of the adoption of the Merger Agreement, who properly demand and perfect their appraisal rights, who do not withdraw such demand and who continuously hold such shares through the Effective Time will be entitled to appraisal rights in connection with the Merger under Section 262 of the DGCL.</w:t>
      </w:r>
    </w:p>
    <w:p w:rsidR="000A653B" w:rsidRPr="000A653B" w:rsidRDefault="000A653B" w:rsidP="000A653B">
      <w:pPr>
        <w:rPr>
          <w:rFonts w:ascii="Times New Roman" w:eastAsia="Times New Roman" w:hAnsi="Times New Roman"/>
          <w:szCs w:val="24"/>
        </w:rPr>
      </w:pPr>
      <w:r w:rsidRPr="000A653B">
        <w:rPr>
          <w:rFonts w:eastAsia="Times New Roman"/>
          <w:szCs w:val="24"/>
        </w:rPr>
        <w:t>The following discussion is not a complete statement of the law pertaining to appraisal rights under the DGCL and is qualified in its entirety by the full text of Section 262 of the DGCL, which is attached to this proxy statement as Annex C and incorporated herein by reference. The following summary does not constitute any legal or other advice and does not constitute a recommendation that stockholders exercise their appraisal rights under Section 262 of the DGCL. All references in Section 262 of the DGCL and in this summary to a “stockholder” or a “holder of shares” are to the record holder of shares of Fitbit Common Stock unless otherwise noted herein. Only a holder of record of shares of Fitbit Common Stock is entitled to demand appraisal rights for the shares registered in that holder’s name. A person having a beneficial interest in shares of Fitbit Common Stock held of record in the name of another person, such as a bank, broker or other nominee, must act promptly to cause the record holder to follow the steps summarized below properly and in a timely manner to perfect appraisal rights. </w:t>
      </w:r>
      <w:r w:rsidRPr="000A653B">
        <w:rPr>
          <w:rFonts w:eastAsia="Times New Roman"/>
          <w:b/>
          <w:szCs w:val="24"/>
        </w:rPr>
        <w:t>If you hold your shares of Fitbit Common Stock through a bank, broker or other nominee and you wish to exercise appraisal rights, you should consult with your bank, broker or the other nominee.</w:t>
      </w:r>
    </w:p>
    <w:p w:rsidR="000A653B" w:rsidRPr="000A653B" w:rsidRDefault="000A653B" w:rsidP="000A653B">
      <w:pPr>
        <w:rPr>
          <w:rFonts w:ascii="Times New Roman" w:eastAsia="Times New Roman" w:hAnsi="Times New Roman"/>
          <w:szCs w:val="24"/>
        </w:rPr>
      </w:pPr>
      <w:r w:rsidRPr="000A653B">
        <w:rPr>
          <w:rFonts w:eastAsia="Times New Roman"/>
          <w:szCs w:val="24"/>
        </w:rPr>
        <w:t>Any stockholder contemplating the exercise of such appraisal rights should review carefully the provisions of Section 262 of the DGCL, which is attached hereto as Annex C, particularly the procedural steps required to properly demand and perfect such rights. </w:t>
      </w:r>
      <w:r w:rsidRPr="000A653B">
        <w:rPr>
          <w:rFonts w:eastAsia="Times New Roman"/>
          <w:b/>
          <w:szCs w:val="24"/>
        </w:rPr>
        <w:t>Failure to follow the steps required by Section 262 of the DGCL for demanding and perfecting appraisal rights may result in the loss of such rights.</w:t>
      </w:r>
    </w:p>
    <w:p w:rsidR="000A653B" w:rsidRPr="000A653B" w:rsidRDefault="000A653B" w:rsidP="000A653B">
      <w:pPr>
        <w:rPr>
          <w:rFonts w:ascii="Times New Roman" w:eastAsia="Times New Roman" w:hAnsi="Times New Roman"/>
          <w:szCs w:val="24"/>
        </w:rPr>
      </w:pPr>
      <w:r w:rsidRPr="000A653B">
        <w:rPr>
          <w:rFonts w:eastAsia="Times New Roman"/>
          <w:szCs w:val="24"/>
        </w:rPr>
        <w:t>Under Section 262 of the DGCL, holders of shares of Fitbit Common Stock who (1) do not vote or submit a proxy in favor of the adoption of the Merger Agreement; (2) continuously are the record holders of such shares through the Effective Time; (3) follow the procedures set forth in Section 262 of the DGCL; and (4) do not thereafter withdraw their demand for appraisal of such shares or otherwise lose their appraisal rights, in each case in accordance with the DGCL, will be entitled to have their shares of Fitbit Common Stock appraised by the Delaware Court of Chancery and to receive payment in cash of the amount determined by the Delaware Court of Chancery to be the “fair value” of the shares of Fitbit Common Stock, exclusive of any element of value arising from the accomplishment or expectation of the Merger, together with interest, if any, to be paid on the amount determined to be the fair value. However, the Delaware Court of Chancery will dismiss appraisal proceedings as to all holders of shares of Fitbit Common Stock who are otherwise entitled to appraisal rights unless (x) the total number of shares for which appraisal rights have been demanded and perfected exceeds 1% of the outstanding shares of Fitbit Common Stock as measured in accordance with subsection (g) of Section 262 of the DGCL or (y) the value of the aggregate Merger Consideration in respect of such shares exceeds $1,000,000. We refer to these conditions as the “ownership thresholds.” Unless the Delaware Court of Chancery, in its discretion, determines otherwise for good cause shown, interest on an appraisal award will accrue and compound quarterly from the Effective Time through the date the judgment is paid at 5% over the Federal Reserve discount rate (including any surcharge) as established from time to time during such period; provided, however, that at any time before the Delaware Court of Chancery enters judgment in the appraisal proceeding, the Surviving Corporation may pay to each stockholder entitled to appraisal an amount in cash, in which case any such interest will accrue after the time of such payment only on the amount that equals the sum of (1) the difference, if any, between the amount so paid and the “fair value” of the shares as determined by the Delaware Court of Chancery and (2) interest theretofore accrued, unless paid at such time. The Surviving Corporation is under No obligation to make such voluntary cash payment prior to such entry of judgment. Stockholders considering seeking appraisal should be aware that the fair value of their shares as determined pursuant to Section 262 of the DGCL could be more than, the same as or less than the $7.35 per share consideration payable pursuant to the Merger Agreement if they did not seek appraisal of their shares.</w:t>
      </w:r>
    </w:p>
    <w:p w:rsidR="000A653B" w:rsidRPr="000A653B" w:rsidRDefault="000A653B" w:rsidP="000A653B">
      <w:pPr>
        <w:rPr>
          <w:rFonts w:ascii="Times New Roman" w:eastAsia="Times New Roman" w:hAnsi="Times New Roman"/>
          <w:szCs w:val="24"/>
        </w:rPr>
      </w:pPr>
      <w:r w:rsidRPr="000A653B">
        <w:rPr>
          <w:rFonts w:eastAsia="Times New Roman"/>
          <w:szCs w:val="24"/>
        </w:rPr>
        <w:t>Under Section 262 of the DGCL, where a merger agreement is to be submitted for adoption at a meeting of stockholders, the corporation, not less than 20 days prior to the special meeting, must notify each of its stockholders who was such on the record date for notice of such meeting with respect to shares for which appraisal rights are available that appraisal rights are available and include in the notice a copy of Section 262 of the DGCL. </w:t>
      </w:r>
      <w:r w:rsidRPr="000A653B">
        <w:rPr>
          <w:rFonts w:eastAsia="Times New Roman"/>
          <w:b/>
          <w:szCs w:val="24"/>
        </w:rPr>
        <w:t>This proxy statement constitutes our notice to stockholders that appraisal rights are available in connection with the Merger, and the full text of Section 262 of the DGCL is attached to this proxy statement as Annex C, in compliance with the requirements of Section 262 of the DGCL.</w:t>
      </w:r>
      <w:r w:rsidRPr="000A653B">
        <w:rPr>
          <w:rFonts w:eastAsia="Times New Roman"/>
          <w:szCs w:val="24"/>
        </w:rPr>
        <w:t> In connection with the Merger, any holder of shares of Fitbit Common Stock who wishes to exercise appraisal rights or who wishes to preserve such holder’s right to do so should review Annex C carefully. Failure to strictly comply with the requirements of Section 262 of the DGCL in a timely and proper manner may result in the loss of appraisal rights under the DGCL. Moreover, because of the complexity of the procedures for exercising the right to seek appraisal of shares of Fitbit Common Stock, we believe that if a stockholder considers exercising such rights, that stockholder should seek the advice of legal counsel. A stockholder who effectively withdraws or loses his, her or its appraisal rights, as provided in the DGCL, will be entitled to receive the Merger Consideration as described in the Merger Agreement, but without interest.</w:t>
      </w:r>
    </w:p>
    <w:p w:rsidR="000A653B" w:rsidRPr="000A653B" w:rsidRDefault="000A653B" w:rsidP="000A653B">
      <w:pPr>
        <w:rPr>
          <w:rFonts w:ascii="Times New Roman" w:eastAsia="Times New Roman" w:hAnsi="Times New Roman"/>
          <w:szCs w:val="24"/>
        </w:rPr>
      </w:pPr>
      <w:r w:rsidRPr="000A653B">
        <w:rPr>
          <w:rFonts w:eastAsia="Times New Roman"/>
          <w:szCs w:val="24"/>
        </w:rPr>
        <w:t>Stockholders wishing to exercise the right to seek an appraisal of their shares of Fitbit Common Stock must fully comply with Section 262 of the DGCL, which means doing, among other things, </w:t>
      </w:r>
      <w:r w:rsidRPr="000A653B">
        <w:rPr>
          <w:rFonts w:eastAsia="Times New Roman"/>
          <w:b/>
          <w:szCs w:val="24"/>
        </w:rPr>
        <w:t>ALL</w:t>
      </w:r>
      <w:r w:rsidRPr="000A653B">
        <w:rPr>
          <w:rFonts w:eastAsia="Times New Roman"/>
          <w:szCs w:val="24"/>
        </w:rPr>
        <w:t> of the following:</w:t>
      </w:r>
    </w:p>
    <w:tbl>
      <w:tblPr>
        <w:tblW w:w="0" w:type="auto"/>
        <w:shd w:val="clear" w:color="auto" w:fill="FFFFFF"/>
        <w:tblCellMar>
          <w:left w:w="0" w:type="dxa"/>
          <w:bottom w:w="240" w:type="dxa"/>
          <w:right w:w="0" w:type="dxa"/>
        </w:tblCellMar>
        <w:tblLook w:val="04A0" w:firstRow="1" w:lastRow="0" w:firstColumn="1" w:lastColumn="0" w:noHBand="0" w:noVBand="1"/>
      </w:tblPr>
      <w:tblGrid>
        <w:gridCol w:w="720"/>
        <w:gridCol w:w="8640"/>
      </w:tblGrid>
      <w:tr w:rsidR="000A653B" w:rsidRPr="000A653B" w:rsidTr="000A653B">
        <w:tc>
          <w:tcPr>
            <w:tcW w:w="720" w:type="dxa"/>
            <w:tcBorders>
              <w:top w:val="nil"/>
              <w:left w:val="nil"/>
              <w:bottom w:val="nil"/>
              <w:right w:val="nil"/>
            </w:tcBorders>
            <w:shd w:val="clear" w:color="auto" w:fill="FFFFFF"/>
            <w:tcMar>
              <w:top w:w="0" w:type="dxa"/>
              <w:left w:w="0" w:type="dxa"/>
              <w:bottom w:w="0" w:type="dxa"/>
              <w:right w:w="0" w:type="dxa"/>
            </w:tcMar>
            <w:vAlign w:val="bottom"/>
            <w:hideMark/>
          </w:tcPr>
          <w:p w:rsidR="000A653B" w:rsidRPr="000A653B" w:rsidRDefault="000A653B" w:rsidP="000A653B">
            <w:pPr>
              <w:rPr>
                <w:rFonts w:ascii="Times New Roman" w:eastAsia="Times New Roman" w:hAnsi="Times New Roman"/>
                <w:szCs w:val="24"/>
              </w:rPr>
            </w:pPr>
          </w:p>
        </w:tc>
        <w:tc>
          <w:tcPr>
            <w:tcW w:w="0" w:type="auto"/>
            <w:tcBorders>
              <w:top w:val="nil"/>
              <w:left w:val="nil"/>
              <w:bottom w:val="nil"/>
              <w:right w:val="nil"/>
            </w:tcBorders>
            <w:shd w:val="clear" w:color="auto" w:fill="FFFFFF"/>
            <w:tcMar>
              <w:top w:w="0" w:type="dxa"/>
              <w:left w:w="0" w:type="dxa"/>
              <w:bottom w:w="0" w:type="dxa"/>
              <w:right w:w="0" w:type="dxa"/>
            </w:tcMar>
            <w:vAlign w:val="bottom"/>
            <w:hideMark/>
          </w:tcPr>
          <w:p w:rsidR="000A653B" w:rsidRPr="000A653B" w:rsidRDefault="000A653B" w:rsidP="000A653B">
            <w:pPr>
              <w:rPr>
                <w:rFonts w:ascii="Times New Roman" w:eastAsia="Times New Roman" w:hAnsi="Times New Roman"/>
                <w:szCs w:val="24"/>
              </w:rPr>
            </w:pPr>
          </w:p>
        </w:tc>
      </w:tr>
      <w:tr w:rsidR="000A653B" w:rsidRPr="000A653B" w:rsidTr="000A653B">
        <w:tc>
          <w:tcPr>
            <w:tcW w:w="0" w:type="auto"/>
            <w:tcBorders>
              <w:top w:val="nil"/>
              <w:left w:val="nil"/>
              <w:bottom w:val="nil"/>
              <w:right w:val="nil"/>
            </w:tcBorders>
            <w:shd w:val="clear" w:color="auto" w:fill="FFFFFF"/>
            <w:tcMar>
              <w:top w:w="0" w:type="dxa"/>
              <w:left w:w="0" w:type="dxa"/>
              <w:bottom w:w="0" w:type="dxa"/>
              <w:right w:w="0" w:type="dxa"/>
            </w:tcMar>
            <w:hideMark/>
          </w:tcPr>
          <w:p w:rsidR="000A653B" w:rsidRPr="000A653B" w:rsidRDefault="000A653B" w:rsidP="000A653B">
            <w:pPr>
              <w:rPr>
                <w:rFonts w:ascii="Times New Roman" w:eastAsia="Times New Roman" w:hAnsi="Times New Roman"/>
                <w:szCs w:val="24"/>
              </w:rPr>
            </w:pPr>
            <w:r w:rsidRPr="000A653B">
              <w:rPr>
                <w:rFonts w:eastAsia="Times New Roman"/>
                <w:szCs w:val="24"/>
              </w:rPr>
              <w:t>•</w:t>
            </w:r>
          </w:p>
        </w:tc>
        <w:tc>
          <w:tcPr>
            <w:tcW w:w="0" w:type="auto"/>
            <w:tcBorders>
              <w:top w:val="nil"/>
              <w:left w:val="nil"/>
              <w:bottom w:val="nil"/>
              <w:right w:val="nil"/>
            </w:tcBorders>
            <w:shd w:val="clear" w:color="auto" w:fill="FFFFFF"/>
            <w:tcMar>
              <w:top w:w="0" w:type="dxa"/>
              <w:left w:w="0" w:type="dxa"/>
              <w:bottom w:w="0" w:type="dxa"/>
              <w:right w:w="0" w:type="dxa"/>
            </w:tcMar>
            <w:hideMark/>
          </w:tcPr>
          <w:p w:rsidR="000A653B" w:rsidRPr="000A653B" w:rsidRDefault="000A653B" w:rsidP="000A653B">
            <w:pPr>
              <w:rPr>
                <w:rFonts w:ascii="Times New Roman" w:eastAsia="Times New Roman" w:hAnsi="Times New Roman"/>
                <w:szCs w:val="24"/>
              </w:rPr>
            </w:pPr>
            <w:r w:rsidRPr="000A653B">
              <w:rPr>
                <w:rFonts w:eastAsia="Times New Roman"/>
                <w:szCs w:val="24"/>
              </w:rPr>
              <w:t>the stockholder must not vote or submit a proxy in favor of the proposal to adopt the Merger Agreement;</w:t>
            </w:r>
          </w:p>
        </w:tc>
      </w:tr>
    </w:tbl>
    <w:p w:rsidR="000A653B" w:rsidRPr="000A653B" w:rsidRDefault="000A653B" w:rsidP="000A653B">
      <w:pPr>
        <w:rPr>
          <w:rFonts w:ascii="Times New Roman" w:eastAsia="Times New Roman" w:hAnsi="Times New Roman"/>
          <w:vanish/>
          <w:szCs w:val="24"/>
        </w:rPr>
      </w:pPr>
    </w:p>
    <w:tbl>
      <w:tblPr>
        <w:tblW w:w="0" w:type="auto"/>
        <w:shd w:val="clear" w:color="auto" w:fill="FFFFFF"/>
        <w:tblCellMar>
          <w:left w:w="0" w:type="dxa"/>
          <w:bottom w:w="240" w:type="dxa"/>
          <w:right w:w="0" w:type="dxa"/>
        </w:tblCellMar>
        <w:tblLook w:val="04A0" w:firstRow="1" w:lastRow="0" w:firstColumn="1" w:lastColumn="0" w:noHBand="0" w:noVBand="1"/>
      </w:tblPr>
      <w:tblGrid>
        <w:gridCol w:w="720"/>
        <w:gridCol w:w="8640"/>
      </w:tblGrid>
      <w:tr w:rsidR="000A653B" w:rsidRPr="000A653B" w:rsidTr="000A653B">
        <w:tc>
          <w:tcPr>
            <w:tcW w:w="720" w:type="dxa"/>
            <w:tcBorders>
              <w:top w:val="nil"/>
              <w:left w:val="nil"/>
              <w:bottom w:val="nil"/>
              <w:right w:val="nil"/>
            </w:tcBorders>
            <w:shd w:val="clear" w:color="auto" w:fill="FFFFFF"/>
            <w:tcMar>
              <w:top w:w="0" w:type="dxa"/>
              <w:left w:w="0" w:type="dxa"/>
              <w:bottom w:w="0" w:type="dxa"/>
              <w:right w:w="0" w:type="dxa"/>
            </w:tcMar>
            <w:vAlign w:val="bottom"/>
            <w:hideMark/>
          </w:tcPr>
          <w:p w:rsidR="000A653B" w:rsidRPr="000A653B" w:rsidRDefault="000A653B" w:rsidP="000A653B">
            <w:pPr>
              <w:rPr>
                <w:rFonts w:ascii="Times New Roman" w:eastAsia="Times New Roman" w:hAnsi="Times New Roman"/>
                <w:szCs w:val="24"/>
              </w:rPr>
            </w:pPr>
          </w:p>
        </w:tc>
        <w:tc>
          <w:tcPr>
            <w:tcW w:w="0" w:type="auto"/>
            <w:tcBorders>
              <w:top w:val="nil"/>
              <w:left w:val="nil"/>
              <w:bottom w:val="nil"/>
              <w:right w:val="nil"/>
            </w:tcBorders>
            <w:shd w:val="clear" w:color="auto" w:fill="FFFFFF"/>
            <w:tcMar>
              <w:top w:w="0" w:type="dxa"/>
              <w:left w:w="0" w:type="dxa"/>
              <w:bottom w:w="0" w:type="dxa"/>
              <w:right w:w="0" w:type="dxa"/>
            </w:tcMar>
            <w:vAlign w:val="bottom"/>
            <w:hideMark/>
          </w:tcPr>
          <w:p w:rsidR="000A653B" w:rsidRPr="000A653B" w:rsidRDefault="000A653B" w:rsidP="000A653B">
            <w:pPr>
              <w:rPr>
                <w:rFonts w:ascii="Times New Roman" w:eastAsia="Times New Roman" w:hAnsi="Times New Roman"/>
                <w:szCs w:val="24"/>
              </w:rPr>
            </w:pPr>
          </w:p>
        </w:tc>
      </w:tr>
      <w:tr w:rsidR="000A653B" w:rsidRPr="000A653B" w:rsidTr="000A653B">
        <w:tc>
          <w:tcPr>
            <w:tcW w:w="0" w:type="auto"/>
            <w:tcBorders>
              <w:top w:val="nil"/>
              <w:left w:val="nil"/>
              <w:bottom w:val="nil"/>
              <w:right w:val="nil"/>
            </w:tcBorders>
            <w:shd w:val="clear" w:color="auto" w:fill="FFFFFF"/>
            <w:tcMar>
              <w:top w:w="0" w:type="dxa"/>
              <w:left w:w="0" w:type="dxa"/>
              <w:bottom w:w="0" w:type="dxa"/>
              <w:right w:w="0" w:type="dxa"/>
            </w:tcMar>
            <w:hideMark/>
          </w:tcPr>
          <w:p w:rsidR="000A653B" w:rsidRPr="000A653B" w:rsidRDefault="000A653B" w:rsidP="000A653B">
            <w:pPr>
              <w:rPr>
                <w:rFonts w:ascii="Times New Roman" w:eastAsia="Times New Roman" w:hAnsi="Times New Roman"/>
                <w:szCs w:val="24"/>
              </w:rPr>
            </w:pPr>
            <w:r w:rsidRPr="000A653B">
              <w:rPr>
                <w:rFonts w:eastAsia="Times New Roman"/>
                <w:szCs w:val="24"/>
              </w:rPr>
              <w:t>•</w:t>
            </w:r>
          </w:p>
        </w:tc>
        <w:tc>
          <w:tcPr>
            <w:tcW w:w="0" w:type="auto"/>
            <w:tcBorders>
              <w:top w:val="nil"/>
              <w:left w:val="nil"/>
              <w:bottom w:val="nil"/>
              <w:right w:val="nil"/>
            </w:tcBorders>
            <w:shd w:val="clear" w:color="auto" w:fill="FFFFFF"/>
            <w:tcMar>
              <w:top w:w="0" w:type="dxa"/>
              <w:left w:w="0" w:type="dxa"/>
              <w:bottom w:w="0" w:type="dxa"/>
              <w:right w:w="0" w:type="dxa"/>
            </w:tcMar>
            <w:hideMark/>
          </w:tcPr>
          <w:p w:rsidR="000A653B" w:rsidRPr="000A653B" w:rsidRDefault="000A653B" w:rsidP="000A653B">
            <w:pPr>
              <w:rPr>
                <w:rFonts w:ascii="Times New Roman" w:eastAsia="Times New Roman" w:hAnsi="Times New Roman"/>
                <w:szCs w:val="24"/>
              </w:rPr>
            </w:pPr>
            <w:r w:rsidRPr="000A653B">
              <w:rPr>
                <w:rFonts w:eastAsia="Times New Roman"/>
                <w:szCs w:val="24"/>
              </w:rPr>
              <w:t>the stockholder must deliver to us a written demand for appraisal before the vote on the Merger Agreement at the special meeting;</w:t>
            </w:r>
          </w:p>
        </w:tc>
      </w:tr>
    </w:tbl>
    <w:p w:rsidR="000A653B" w:rsidRPr="000A653B" w:rsidRDefault="000A653B" w:rsidP="000A653B">
      <w:pPr>
        <w:rPr>
          <w:rFonts w:ascii="Times New Roman" w:eastAsia="Times New Roman" w:hAnsi="Times New Roman"/>
          <w:vanish/>
          <w:szCs w:val="24"/>
        </w:rPr>
      </w:pPr>
    </w:p>
    <w:tbl>
      <w:tblPr>
        <w:tblW w:w="0" w:type="auto"/>
        <w:shd w:val="clear" w:color="auto" w:fill="FFFFFF"/>
        <w:tblCellMar>
          <w:left w:w="0" w:type="dxa"/>
          <w:bottom w:w="240" w:type="dxa"/>
          <w:right w:w="0" w:type="dxa"/>
        </w:tblCellMar>
        <w:tblLook w:val="04A0" w:firstRow="1" w:lastRow="0" w:firstColumn="1" w:lastColumn="0" w:noHBand="0" w:noVBand="1"/>
      </w:tblPr>
      <w:tblGrid>
        <w:gridCol w:w="720"/>
        <w:gridCol w:w="8640"/>
      </w:tblGrid>
      <w:tr w:rsidR="000A653B" w:rsidRPr="000A653B" w:rsidTr="000A653B">
        <w:tc>
          <w:tcPr>
            <w:tcW w:w="720" w:type="dxa"/>
            <w:tcBorders>
              <w:top w:val="nil"/>
              <w:left w:val="nil"/>
              <w:bottom w:val="nil"/>
              <w:right w:val="nil"/>
            </w:tcBorders>
            <w:shd w:val="clear" w:color="auto" w:fill="FFFFFF"/>
            <w:tcMar>
              <w:top w:w="0" w:type="dxa"/>
              <w:left w:w="0" w:type="dxa"/>
              <w:bottom w:w="0" w:type="dxa"/>
              <w:right w:w="0" w:type="dxa"/>
            </w:tcMar>
            <w:vAlign w:val="bottom"/>
            <w:hideMark/>
          </w:tcPr>
          <w:p w:rsidR="000A653B" w:rsidRPr="000A653B" w:rsidRDefault="000A653B" w:rsidP="000A653B">
            <w:pPr>
              <w:rPr>
                <w:rFonts w:ascii="Times New Roman" w:eastAsia="Times New Roman" w:hAnsi="Times New Roman"/>
                <w:szCs w:val="24"/>
              </w:rPr>
            </w:pPr>
          </w:p>
        </w:tc>
        <w:tc>
          <w:tcPr>
            <w:tcW w:w="0" w:type="auto"/>
            <w:tcBorders>
              <w:top w:val="nil"/>
              <w:left w:val="nil"/>
              <w:bottom w:val="nil"/>
              <w:right w:val="nil"/>
            </w:tcBorders>
            <w:shd w:val="clear" w:color="auto" w:fill="FFFFFF"/>
            <w:tcMar>
              <w:top w:w="0" w:type="dxa"/>
              <w:left w:w="0" w:type="dxa"/>
              <w:bottom w:w="0" w:type="dxa"/>
              <w:right w:w="0" w:type="dxa"/>
            </w:tcMar>
            <w:vAlign w:val="bottom"/>
            <w:hideMark/>
          </w:tcPr>
          <w:p w:rsidR="000A653B" w:rsidRPr="000A653B" w:rsidRDefault="000A653B" w:rsidP="000A653B">
            <w:pPr>
              <w:rPr>
                <w:rFonts w:ascii="Times New Roman" w:eastAsia="Times New Roman" w:hAnsi="Times New Roman"/>
                <w:szCs w:val="24"/>
              </w:rPr>
            </w:pPr>
          </w:p>
        </w:tc>
      </w:tr>
      <w:tr w:rsidR="000A653B" w:rsidRPr="000A653B" w:rsidTr="000A653B">
        <w:tc>
          <w:tcPr>
            <w:tcW w:w="0" w:type="auto"/>
            <w:tcBorders>
              <w:top w:val="nil"/>
              <w:left w:val="nil"/>
              <w:bottom w:val="nil"/>
              <w:right w:val="nil"/>
            </w:tcBorders>
            <w:shd w:val="clear" w:color="auto" w:fill="FFFFFF"/>
            <w:tcMar>
              <w:top w:w="0" w:type="dxa"/>
              <w:left w:w="0" w:type="dxa"/>
              <w:bottom w:w="0" w:type="dxa"/>
              <w:right w:w="0" w:type="dxa"/>
            </w:tcMar>
            <w:hideMark/>
          </w:tcPr>
          <w:p w:rsidR="000A653B" w:rsidRPr="000A653B" w:rsidRDefault="000A653B" w:rsidP="000A653B">
            <w:pPr>
              <w:rPr>
                <w:rFonts w:ascii="Times New Roman" w:eastAsia="Times New Roman" w:hAnsi="Times New Roman"/>
                <w:szCs w:val="24"/>
              </w:rPr>
            </w:pPr>
            <w:r w:rsidRPr="000A653B">
              <w:rPr>
                <w:rFonts w:eastAsia="Times New Roman"/>
                <w:szCs w:val="24"/>
              </w:rPr>
              <w:t>•</w:t>
            </w:r>
          </w:p>
        </w:tc>
        <w:tc>
          <w:tcPr>
            <w:tcW w:w="0" w:type="auto"/>
            <w:tcBorders>
              <w:top w:val="nil"/>
              <w:left w:val="nil"/>
              <w:bottom w:val="nil"/>
              <w:right w:val="nil"/>
            </w:tcBorders>
            <w:shd w:val="clear" w:color="auto" w:fill="FFFFFF"/>
            <w:tcMar>
              <w:top w:w="0" w:type="dxa"/>
              <w:left w:w="0" w:type="dxa"/>
              <w:bottom w:w="0" w:type="dxa"/>
              <w:right w:w="0" w:type="dxa"/>
            </w:tcMar>
            <w:hideMark/>
          </w:tcPr>
          <w:p w:rsidR="000A653B" w:rsidRPr="000A653B" w:rsidRDefault="000A653B" w:rsidP="000A653B">
            <w:pPr>
              <w:rPr>
                <w:rFonts w:ascii="Times New Roman" w:eastAsia="Times New Roman" w:hAnsi="Times New Roman"/>
                <w:szCs w:val="24"/>
              </w:rPr>
            </w:pPr>
            <w:r w:rsidRPr="000A653B">
              <w:rPr>
                <w:rFonts w:eastAsia="Times New Roman"/>
                <w:szCs w:val="24"/>
              </w:rPr>
              <w:t>the stockholder must continuously hold his, her or its shares of Fitbit Common Stock from the date of making the demand through the Effective Time (a stockholder will lose appraisal rights if the stockholder transfers the shares before the Effective Time); and</w:t>
            </w:r>
          </w:p>
        </w:tc>
      </w:tr>
    </w:tbl>
    <w:p w:rsidR="000A653B" w:rsidRPr="000A653B" w:rsidRDefault="000A653B" w:rsidP="000A653B">
      <w:pPr>
        <w:rPr>
          <w:rFonts w:ascii="Times New Roman" w:eastAsia="Times New Roman" w:hAnsi="Times New Roman"/>
          <w:vanish/>
          <w:szCs w:val="24"/>
        </w:rPr>
      </w:pPr>
    </w:p>
    <w:tbl>
      <w:tblPr>
        <w:tblW w:w="0" w:type="auto"/>
        <w:shd w:val="clear" w:color="auto" w:fill="FFFFFF"/>
        <w:tblCellMar>
          <w:left w:w="0" w:type="dxa"/>
          <w:bottom w:w="240" w:type="dxa"/>
          <w:right w:w="0" w:type="dxa"/>
        </w:tblCellMar>
        <w:tblLook w:val="04A0" w:firstRow="1" w:lastRow="0" w:firstColumn="1" w:lastColumn="0" w:noHBand="0" w:noVBand="1"/>
      </w:tblPr>
      <w:tblGrid>
        <w:gridCol w:w="720"/>
        <w:gridCol w:w="8640"/>
      </w:tblGrid>
      <w:tr w:rsidR="000A653B" w:rsidRPr="000A653B" w:rsidTr="000A653B">
        <w:tc>
          <w:tcPr>
            <w:tcW w:w="720" w:type="dxa"/>
            <w:tcBorders>
              <w:top w:val="nil"/>
              <w:left w:val="nil"/>
              <w:bottom w:val="nil"/>
              <w:right w:val="nil"/>
            </w:tcBorders>
            <w:shd w:val="clear" w:color="auto" w:fill="FFFFFF"/>
            <w:tcMar>
              <w:top w:w="0" w:type="dxa"/>
              <w:left w:w="0" w:type="dxa"/>
              <w:bottom w:w="0" w:type="dxa"/>
              <w:right w:w="0" w:type="dxa"/>
            </w:tcMar>
            <w:vAlign w:val="bottom"/>
            <w:hideMark/>
          </w:tcPr>
          <w:p w:rsidR="000A653B" w:rsidRPr="000A653B" w:rsidRDefault="000A653B" w:rsidP="000A653B">
            <w:pPr>
              <w:rPr>
                <w:rFonts w:ascii="Times New Roman" w:eastAsia="Times New Roman" w:hAnsi="Times New Roman"/>
                <w:szCs w:val="24"/>
              </w:rPr>
            </w:pPr>
          </w:p>
        </w:tc>
        <w:tc>
          <w:tcPr>
            <w:tcW w:w="0" w:type="auto"/>
            <w:tcBorders>
              <w:top w:val="nil"/>
              <w:left w:val="nil"/>
              <w:bottom w:val="nil"/>
              <w:right w:val="nil"/>
            </w:tcBorders>
            <w:shd w:val="clear" w:color="auto" w:fill="FFFFFF"/>
            <w:tcMar>
              <w:top w:w="0" w:type="dxa"/>
              <w:left w:w="0" w:type="dxa"/>
              <w:bottom w:w="0" w:type="dxa"/>
              <w:right w:w="0" w:type="dxa"/>
            </w:tcMar>
            <w:vAlign w:val="bottom"/>
            <w:hideMark/>
          </w:tcPr>
          <w:p w:rsidR="000A653B" w:rsidRPr="000A653B" w:rsidRDefault="000A653B" w:rsidP="000A653B">
            <w:pPr>
              <w:rPr>
                <w:rFonts w:ascii="Times New Roman" w:eastAsia="Times New Roman" w:hAnsi="Times New Roman"/>
                <w:szCs w:val="24"/>
              </w:rPr>
            </w:pPr>
          </w:p>
        </w:tc>
      </w:tr>
      <w:tr w:rsidR="000A653B" w:rsidRPr="000A653B" w:rsidTr="000A653B">
        <w:tc>
          <w:tcPr>
            <w:tcW w:w="0" w:type="auto"/>
            <w:tcBorders>
              <w:top w:val="nil"/>
              <w:left w:val="nil"/>
              <w:bottom w:val="nil"/>
              <w:right w:val="nil"/>
            </w:tcBorders>
            <w:shd w:val="clear" w:color="auto" w:fill="FFFFFF"/>
            <w:tcMar>
              <w:top w:w="0" w:type="dxa"/>
              <w:left w:w="0" w:type="dxa"/>
              <w:bottom w:w="0" w:type="dxa"/>
              <w:right w:w="0" w:type="dxa"/>
            </w:tcMar>
            <w:hideMark/>
          </w:tcPr>
          <w:p w:rsidR="000A653B" w:rsidRPr="000A653B" w:rsidRDefault="000A653B" w:rsidP="000A653B">
            <w:pPr>
              <w:rPr>
                <w:rFonts w:ascii="Times New Roman" w:eastAsia="Times New Roman" w:hAnsi="Times New Roman"/>
                <w:szCs w:val="24"/>
              </w:rPr>
            </w:pPr>
            <w:r w:rsidRPr="000A653B">
              <w:rPr>
                <w:rFonts w:eastAsia="Times New Roman"/>
                <w:szCs w:val="24"/>
              </w:rPr>
              <w:t>•</w:t>
            </w:r>
          </w:p>
        </w:tc>
        <w:tc>
          <w:tcPr>
            <w:tcW w:w="0" w:type="auto"/>
            <w:tcBorders>
              <w:top w:val="nil"/>
              <w:left w:val="nil"/>
              <w:bottom w:val="nil"/>
              <w:right w:val="nil"/>
            </w:tcBorders>
            <w:shd w:val="clear" w:color="auto" w:fill="FFFFFF"/>
            <w:tcMar>
              <w:top w:w="0" w:type="dxa"/>
              <w:left w:w="0" w:type="dxa"/>
              <w:bottom w:w="0" w:type="dxa"/>
              <w:right w:w="0" w:type="dxa"/>
            </w:tcMar>
            <w:hideMark/>
          </w:tcPr>
          <w:p w:rsidR="000A653B" w:rsidRPr="000A653B" w:rsidRDefault="000A653B" w:rsidP="000A653B">
            <w:pPr>
              <w:rPr>
                <w:rFonts w:ascii="Times New Roman" w:eastAsia="Times New Roman" w:hAnsi="Times New Roman"/>
                <w:szCs w:val="24"/>
              </w:rPr>
            </w:pPr>
            <w:r w:rsidRPr="000A653B">
              <w:rPr>
                <w:rFonts w:eastAsia="Times New Roman"/>
                <w:szCs w:val="24"/>
              </w:rPr>
              <w:t>the stockholder or the Surviving Corporation must file a petition in the Delaware Court of Chancery requesting a determination of the fair value of the shares within 120 days after the Effective Time. The Surviving Corporation is under No obligation to file any petition and has No intention of doing so.</w:t>
            </w:r>
          </w:p>
        </w:tc>
      </w:tr>
    </w:tbl>
    <w:p w:rsidR="000A653B" w:rsidRPr="000A653B" w:rsidRDefault="000A653B" w:rsidP="000A653B">
      <w:pPr>
        <w:rPr>
          <w:rFonts w:ascii="Times New Roman" w:eastAsia="Times New Roman" w:hAnsi="Times New Roman"/>
          <w:szCs w:val="24"/>
        </w:rPr>
      </w:pPr>
      <w:r w:rsidRPr="000A653B">
        <w:rPr>
          <w:rFonts w:eastAsia="Times New Roman"/>
          <w:szCs w:val="24"/>
        </w:rPr>
        <w:t>In addition, one of the ownership thresholds must be met.</w:t>
      </w:r>
    </w:p>
    <w:p w:rsidR="000A653B" w:rsidRPr="000A653B" w:rsidRDefault="000A653B" w:rsidP="000A653B">
      <w:pPr>
        <w:rPr>
          <w:rFonts w:eastAsia="Times New Roman"/>
          <w:szCs w:val="24"/>
        </w:rPr>
      </w:pPr>
      <w:r w:rsidRPr="000A653B">
        <w:rPr>
          <w:rFonts w:eastAsia="Times New Roman"/>
          <w:szCs w:val="24"/>
        </w:rPr>
        <w:t>Because a proxy that does not contain voting instructions will, unless revoked, be voted in favor of the Merger Agreement, a stockholder who votes by submitting a proxy and who wishes to exercise appraisal rights must not return a blank proxy, but rather must submit a proxy containing instructions to vote against the adoption of the Merger Agreement or to abstain from voting on the adoption of the Merger Agreement.</w:t>
      </w:r>
    </w:p>
    <w:p w:rsidR="000A653B" w:rsidRPr="000A653B" w:rsidRDefault="000A653B" w:rsidP="000A653B">
      <w:pPr>
        <w:rPr>
          <w:rFonts w:ascii="Times New Roman" w:eastAsia="Times New Roman" w:hAnsi="Times New Roman"/>
          <w:szCs w:val="24"/>
        </w:rPr>
      </w:pPr>
    </w:p>
    <w:p w:rsidR="000A653B" w:rsidRPr="000A653B" w:rsidRDefault="000A653B" w:rsidP="000A653B">
      <w:pPr>
        <w:rPr>
          <w:rFonts w:ascii="Times New Roman" w:eastAsia="Times New Roman" w:hAnsi="Times New Roman"/>
          <w:szCs w:val="24"/>
        </w:rPr>
      </w:pPr>
    </w:p>
    <w:p w:rsidR="000A653B" w:rsidRPr="000A653B" w:rsidRDefault="000A653B" w:rsidP="000A653B">
      <w:pPr>
        <w:rPr>
          <w:rFonts w:ascii="Times New Roman" w:eastAsia="Times New Roman" w:hAnsi="Times New Roman"/>
          <w:b/>
          <w:szCs w:val="24"/>
        </w:rPr>
      </w:pPr>
      <w:r w:rsidRPr="000A653B">
        <w:rPr>
          <w:rFonts w:eastAsia="Times New Roman"/>
          <w:b/>
          <w:i/>
          <w:iCs/>
          <w:szCs w:val="24"/>
        </w:rPr>
        <w:t>Filing Written Demand</w:t>
      </w:r>
    </w:p>
    <w:p w:rsidR="000A653B" w:rsidRPr="000A653B" w:rsidRDefault="000A653B" w:rsidP="000A653B">
      <w:pPr>
        <w:rPr>
          <w:rFonts w:ascii="Times New Roman" w:eastAsia="Times New Roman" w:hAnsi="Times New Roman"/>
          <w:szCs w:val="24"/>
        </w:rPr>
      </w:pPr>
      <w:r w:rsidRPr="000A653B">
        <w:rPr>
          <w:rFonts w:eastAsia="Times New Roman"/>
          <w:szCs w:val="24"/>
        </w:rPr>
        <w:t>Any holder of shares of Fitbit Common Stock wishing to exercise appraisal rights must deliver to us, before the vote on the adoption of the Merger Agreement at the virtual special meeting, a written demand for the appraisal of the stockholder’s shares, and that stockholder must not vote or submit a proxy in favor of the adoption of the Merger Agreement.</w:t>
      </w:r>
    </w:p>
    <w:p w:rsidR="000A653B" w:rsidRPr="000A653B" w:rsidRDefault="000A653B" w:rsidP="000A653B">
      <w:pPr>
        <w:rPr>
          <w:rFonts w:ascii="Times New Roman" w:eastAsia="Times New Roman" w:hAnsi="Times New Roman"/>
          <w:szCs w:val="24"/>
        </w:rPr>
      </w:pPr>
      <w:r w:rsidRPr="000A653B">
        <w:rPr>
          <w:rFonts w:eastAsia="Times New Roman"/>
          <w:szCs w:val="24"/>
        </w:rPr>
        <w:t>A holder of shares of Fitbit Common Stock exercising appraisal rights must hold of record the shares on the date the written demand for appraisal is made and must continue to hold the shares of record through the Effective Time. The demand must reasonably inform us of the identity of the holder and state that the person intends thereby to demand appraisal of the holder’s shares in connection with the Merger. A proxy that is submitted and does not contain voting instructions will, unless timely revoked, be voted in favor of the adoption of the Merger Agreement, and it will constitute a waiver of the stockholder’s right of appraisal and will nullify any previously delivered written demand for appraisal. Therefore, a stockholder who submits a proxy and who wishes to exercise appraisal rights must submit a proxy containing instructions to vote against the adoption of the Merger Agreement or abstain from voting on the adoption of the Merger Agreement. Neither voting against the adoption of the Merger Agreement nor abstaining from voting or failing to vote on the proposal to adopt the Merger Agreement will, in and of itself, constitute a written demand for appraisal satisfying the requirements of Section 262 of the DGCL. The written demand for appraisal must be in addition to and separate from any proxy or vote on the adoption of the Merger Agreement. A proxy or vote against the adoption of the Merger Agreement will not constitute a demand. A stockholder’s failure to make the written demand prior to the taking of the vote on the adoption of the Merger Agreement at the virtual special meeting may constitute a waiver of appraisal rights.</w:t>
      </w:r>
    </w:p>
    <w:p w:rsidR="000A653B" w:rsidRPr="000A653B" w:rsidRDefault="000A653B" w:rsidP="000A653B">
      <w:pPr>
        <w:rPr>
          <w:rFonts w:ascii="Times New Roman" w:eastAsia="Times New Roman" w:hAnsi="Times New Roman"/>
          <w:szCs w:val="24"/>
        </w:rPr>
      </w:pPr>
      <w:r w:rsidRPr="000A653B">
        <w:rPr>
          <w:rFonts w:eastAsia="Times New Roman"/>
          <w:szCs w:val="24"/>
        </w:rPr>
        <w:t>Only a holder of record of shares of Fitbit Common Stock is entitled to demand appraisal rights for the shares registered in that holder’s name. A demand for appraisal in respect of shares of Fitbit Common Stock issued and outstanding immediately prior to the Effective Time should be executed by or on behalf of the holder of record, fully and correctly, as his, her or its name appears on his, her or its stock certificates, and must state that such person intends thereby to demand appraisal of his, her or its shares of Common Stock issued and outstanding immediately prior to the Effective Time in connection with the Merger. If the shares of Fitbit Common Stock are owned of record in a fiduciary or representative capacity, such as by a trustee, guardian or custodian, such demand must be executed by or on behalf of the record owner in such capacity, and if the shares are owned of record by more than one person, as in a joint tenancy and tenancy in common, the demand should be executed by or on behalf of all joint owners. An authorized agent, including an authorized agent for two or more joint owners, may execute a demand for appraisal on behalf of a holder of record; however, the agent must identify the record owner or owners and expressly disclose that, in executing the demand, the agent is acting as agent for the record owner or owners. A record holder, such as a broker who holds shares of Fitbit Common Stock as nominee for several beneficial owners, may exercise appraisal rights with respect to the shares of Fitbit Common Stock issued and outstanding immediately prior to the Effective Time held for one or more beneficial owners while not exercising such rights with respect to the shares of Fitbit Common Stock held for other beneficial owners; in such case, however, the written demand should set forth the number of shares of Fitbit Common Stock issued and outstanding immediately prior to the Effective Time as to which appraisal is sought and where No number of shares of Common Stock is expressly mentioned the demand will be presumed to cover all shares of Common Stock which are held in the name of the record owner. Stockholders who hold their shares of Fitbit Common Stock in brokerage accounts or other nominee forms and who wish to exercise appraisal rights are urged to consult with their brokers to determine the appropriate procedures for the making of a demand for appraisal by such a nominee.</w:t>
      </w:r>
    </w:p>
    <w:p w:rsidR="000A653B" w:rsidRPr="000A653B" w:rsidRDefault="000A653B" w:rsidP="000A653B">
      <w:pPr>
        <w:rPr>
          <w:rFonts w:ascii="Times New Roman" w:eastAsia="Times New Roman" w:hAnsi="Times New Roman"/>
          <w:szCs w:val="24"/>
        </w:rPr>
      </w:pPr>
      <w:r w:rsidRPr="000A653B">
        <w:rPr>
          <w:rFonts w:eastAsia="Times New Roman"/>
          <w:szCs w:val="24"/>
        </w:rPr>
        <w:t>A beneficial owner of shares of Fitbit Common Stock held in “street name” who desires appraisal should take such actions as may be necessary to ensure that a timely and proper demand for appraisal is made by the record holder of such shares. Shares held through brokerage firms, banks and other financial institutions are frequently deposited with and held of record in the name of a nominee of a central security depository, such as Cede &amp; Co. Any beneficial holder desiring appraisal who holds shares through a brokerage firm, bank or other financial institution is responsible for ensuring that the demand for appraisal is made by the record holder. The beneficial holder of such shares should instruct such firm, bank or institution that the demand for appraisal be made by the record holder of the shares, which may be the nominee of a central security depository if the shares have been so deposited. As required by Section 262 of the DGCL, a demand for appraisal must reasonably inform us of the identity of the holder(s) of record (which may be a nominee as described above) and of such holder’s intention to seek appraisal of such shares</w:t>
      </w:r>
    </w:p>
    <w:p w:rsidR="000A653B" w:rsidRPr="000A653B" w:rsidRDefault="000A653B" w:rsidP="000A653B">
      <w:pPr>
        <w:rPr>
          <w:rFonts w:ascii="Times New Roman" w:eastAsia="Times New Roman" w:hAnsi="Times New Roman"/>
          <w:szCs w:val="24"/>
        </w:rPr>
      </w:pPr>
      <w:r w:rsidRPr="000A653B">
        <w:rPr>
          <w:rFonts w:eastAsia="Times New Roman"/>
          <w:szCs w:val="24"/>
        </w:rPr>
        <w:t>ONLY A HOLDER OF RECORD OF SHARES OF FITBIT COMMON STOCK IS ENTITLED TO DEMAND APPRAISAL RIGHTS FOR THE SHARES REGISTERED IN THAT HOLDER’S NAME. STOCKHOLDERS WHO HOLD THEIR SHARES IN BROKERAGE OR BANK ACCOUNTS OR OTHER NOMINEE FORMS AND WHO WISH TO EXERCISE APPRAISAL RIGHTS SHOULD CONSULT WITH THEIR BANK, BROKER OR OTHER NOMINEES, AS APPLICABLE, TO DETERMINE THE APPROPRIATE PROCEDURES FOR THE BANK, BROKER OR OTHER NOMINEE TO MAKE A DEMAND FOR APPRAISAL OF THOSE SHARES. A PERSON HAVING A BENEFICIAL INTEREST IN SHARES HELD OF RECORD IN THE NAME OF ANOTHER PERSON, SUCH AS A BANK, BROKER OR OTHER NOMINEE, MUST ACT PROMPTLY TO CAUSE THE RECORD HOLDER TO FOLLOW PROPERLY AND IN A TIMELY MANNER THE STEPS NECESSARY TO PERFECT APPRAISAL RIGHTS.</w:t>
      </w:r>
    </w:p>
    <w:p w:rsidR="000A653B" w:rsidRPr="000A653B" w:rsidRDefault="000A653B" w:rsidP="000A653B">
      <w:pPr>
        <w:rPr>
          <w:rFonts w:ascii="Times New Roman" w:eastAsia="Times New Roman" w:hAnsi="Times New Roman"/>
          <w:szCs w:val="24"/>
        </w:rPr>
      </w:pPr>
      <w:r w:rsidRPr="000A653B">
        <w:rPr>
          <w:rFonts w:eastAsia="Times New Roman"/>
          <w:szCs w:val="24"/>
        </w:rPr>
        <w:t>All written demands for appraisal pursuant to Section 262 of the DGCL should be mailed or delivered to:</w:t>
      </w:r>
    </w:p>
    <w:p w:rsidR="000A653B" w:rsidRPr="000A653B" w:rsidRDefault="000A653B" w:rsidP="000A653B">
      <w:pPr>
        <w:jc w:val="center"/>
        <w:rPr>
          <w:rFonts w:ascii="Times New Roman" w:eastAsia="Times New Roman" w:hAnsi="Times New Roman"/>
          <w:szCs w:val="24"/>
        </w:rPr>
      </w:pPr>
      <w:r w:rsidRPr="000A653B">
        <w:rPr>
          <w:rFonts w:eastAsia="Times New Roman"/>
          <w:szCs w:val="24"/>
        </w:rPr>
        <w:t>Fitbit, Inc.</w:t>
      </w:r>
      <w:r>
        <w:rPr>
          <w:rFonts w:eastAsia="Times New Roman"/>
          <w:szCs w:val="24"/>
        </w:rPr>
        <w:br/>
      </w:r>
      <w:r w:rsidRPr="000A653B">
        <w:rPr>
          <w:rFonts w:eastAsia="Times New Roman"/>
          <w:szCs w:val="24"/>
        </w:rPr>
        <w:t>Attention: Corporate Secretary</w:t>
      </w:r>
      <w:r>
        <w:rPr>
          <w:rFonts w:ascii="Times New Roman" w:eastAsia="Times New Roman" w:hAnsi="Times New Roman"/>
          <w:szCs w:val="24"/>
        </w:rPr>
        <w:br/>
      </w:r>
      <w:r w:rsidRPr="000A653B">
        <w:rPr>
          <w:rFonts w:eastAsia="Times New Roman"/>
          <w:szCs w:val="24"/>
        </w:rPr>
        <w:t>199 Fremont Street, 14th Floor</w:t>
      </w:r>
      <w:r>
        <w:rPr>
          <w:rFonts w:ascii="Times New Roman" w:eastAsia="Times New Roman" w:hAnsi="Times New Roman"/>
          <w:szCs w:val="24"/>
        </w:rPr>
        <w:br/>
      </w:r>
      <w:r w:rsidRPr="000A653B">
        <w:rPr>
          <w:rFonts w:eastAsia="Times New Roman"/>
          <w:szCs w:val="24"/>
        </w:rPr>
        <w:t>San Francisco, California 94105</w:t>
      </w:r>
    </w:p>
    <w:p w:rsidR="000A653B" w:rsidRPr="000A653B" w:rsidRDefault="000A653B" w:rsidP="000A653B">
      <w:pPr>
        <w:rPr>
          <w:rFonts w:ascii="Times New Roman" w:eastAsia="Times New Roman" w:hAnsi="Times New Roman"/>
          <w:szCs w:val="24"/>
        </w:rPr>
      </w:pPr>
      <w:r w:rsidRPr="000A653B">
        <w:rPr>
          <w:rFonts w:eastAsia="Times New Roman"/>
          <w:szCs w:val="24"/>
        </w:rPr>
        <w:t xml:space="preserve">Any holder of shares of Fitbit Common Stock who has not commenced an appraisal proceeding or joined that proceeding as a named party may withdraw his, her or its demand for appraisal and accept the consideration offered pursuant to the Merger Agreement by delivering to us a written withdrawal of the demand for appraisal and an acceptance of the Merger. However, any such attempt to withdraw the demand made more than 60 days after the Effective Time will require written approval of the Surviving Corporation. Once a petition for appraisal is filed, </w:t>
      </w:r>
      <w:proofErr w:type="gramStart"/>
      <w:r w:rsidRPr="000A653B">
        <w:rPr>
          <w:rFonts w:eastAsia="Times New Roman"/>
          <w:szCs w:val="24"/>
        </w:rPr>
        <w:t>No</w:t>
      </w:r>
      <w:proofErr w:type="gramEnd"/>
      <w:r w:rsidRPr="000A653B">
        <w:rPr>
          <w:rFonts w:eastAsia="Times New Roman"/>
          <w:szCs w:val="24"/>
        </w:rPr>
        <w:t> appraisal proceeding in the Delaware Court of Chancery will be dismissed without the approval of the Delaware Court of Chancery, and such approval may be conditioned upon such terms as the Delaware Court of Chancery deems just. However, notwithstanding the foregoing, any stockholder who has not commenced an appraisal proceeding or joined that proceeding as a named party may withdraw such stockholder’s demand for appraisal and accept the terms offered upon the Merger within 60 days after the Effective Time.</w:t>
      </w:r>
    </w:p>
    <w:p w:rsidR="000A653B" w:rsidRPr="000A653B" w:rsidRDefault="000A653B" w:rsidP="000A653B">
      <w:pPr>
        <w:rPr>
          <w:rFonts w:ascii="Times New Roman" w:eastAsia="Times New Roman" w:hAnsi="Times New Roman"/>
          <w:szCs w:val="24"/>
        </w:rPr>
      </w:pPr>
    </w:p>
    <w:p w:rsidR="000A653B" w:rsidRPr="000A653B" w:rsidRDefault="000A653B" w:rsidP="000A653B">
      <w:pPr>
        <w:rPr>
          <w:rFonts w:ascii="Times New Roman" w:eastAsia="Times New Roman" w:hAnsi="Times New Roman"/>
          <w:b/>
          <w:szCs w:val="24"/>
        </w:rPr>
      </w:pPr>
      <w:r w:rsidRPr="000A653B">
        <w:rPr>
          <w:rFonts w:eastAsia="Times New Roman"/>
          <w:b/>
          <w:i/>
          <w:iCs/>
          <w:szCs w:val="24"/>
        </w:rPr>
        <w:t>Notice by the Surviving Corporation</w:t>
      </w:r>
    </w:p>
    <w:p w:rsidR="000A653B" w:rsidRPr="000A653B" w:rsidRDefault="000A653B" w:rsidP="000A653B">
      <w:pPr>
        <w:rPr>
          <w:rFonts w:ascii="Times New Roman" w:eastAsia="Times New Roman" w:hAnsi="Times New Roman"/>
          <w:szCs w:val="24"/>
        </w:rPr>
      </w:pPr>
      <w:r w:rsidRPr="000A653B">
        <w:rPr>
          <w:rFonts w:eastAsia="Times New Roman"/>
          <w:szCs w:val="24"/>
        </w:rPr>
        <w:t>If the Merger is completed, within ten days after the Effective Time, the Surviving Corporation must notify each holder of shares of Fitbit Common Stock who has made a written demand for appraisal in accordance with Section 262 of the DGCL and who has not voted in favor of the adoption of the Merger Agreement that the Merger has become effective and the effective date thereof.</w:t>
      </w:r>
    </w:p>
    <w:p w:rsidR="000A653B" w:rsidRPr="000A653B" w:rsidRDefault="000A653B" w:rsidP="000A653B">
      <w:pPr>
        <w:rPr>
          <w:rFonts w:ascii="Times New Roman" w:eastAsia="Times New Roman" w:hAnsi="Times New Roman"/>
          <w:b/>
          <w:szCs w:val="24"/>
        </w:rPr>
      </w:pPr>
      <w:r w:rsidRPr="000A653B">
        <w:rPr>
          <w:rFonts w:eastAsia="Times New Roman"/>
          <w:b/>
          <w:i/>
          <w:iCs/>
          <w:szCs w:val="24"/>
        </w:rPr>
        <w:t>Filing a Petition for Appraisal</w:t>
      </w:r>
    </w:p>
    <w:p w:rsidR="000A653B" w:rsidRPr="000A653B" w:rsidRDefault="000A653B" w:rsidP="000A653B">
      <w:pPr>
        <w:rPr>
          <w:rFonts w:ascii="Times New Roman" w:eastAsia="Times New Roman" w:hAnsi="Times New Roman"/>
          <w:szCs w:val="24"/>
        </w:rPr>
      </w:pPr>
      <w:r w:rsidRPr="000A653B">
        <w:rPr>
          <w:rFonts w:eastAsia="Times New Roman"/>
          <w:szCs w:val="24"/>
        </w:rPr>
        <w:t xml:space="preserve">Within 120 days after the Effective Time, but not thereafter, the Surviving Corporation or any holder of shares of Fitbit Common Stock who has complied with Section 262 of the DGCL and is entitled to appraisal rights, under Section 262 of the DGCL may commence an appraisal proceeding by filing a petition in the Delaware Court of Chancery, with a copy served on the Surviving Corporation in the case of a petition filed by a stockholder, demanding a determination of the fair value of the shares held by all our stockholders entitled to appraisal. The Surviving Corporation is under </w:t>
      </w:r>
      <w:r w:rsidR="00F0548B">
        <w:rPr>
          <w:rFonts w:eastAsia="Times New Roman"/>
          <w:szCs w:val="24"/>
        </w:rPr>
        <w:t>n</w:t>
      </w:r>
      <w:r w:rsidRPr="000A653B">
        <w:rPr>
          <w:rFonts w:eastAsia="Times New Roman"/>
          <w:szCs w:val="24"/>
        </w:rPr>
        <w:t xml:space="preserve">o obligation, and has </w:t>
      </w:r>
      <w:r w:rsidR="00F0548B">
        <w:rPr>
          <w:rFonts w:eastAsia="Times New Roman"/>
          <w:szCs w:val="24"/>
        </w:rPr>
        <w:t>n</w:t>
      </w:r>
      <w:r w:rsidRPr="000A653B">
        <w:rPr>
          <w:rFonts w:eastAsia="Times New Roman"/>
          <w:szCs w:val="24"/>
        </w:rPr>
        <w:t>o present intention, to file a petition, and holders should not assume that the Surviving Corporation will file a petition or initiate any negotiations with respect to the fair</w:t>
      </w:r>
      <w:bookmarkStart w:id="0" w:name="_GoBack"/>
      <w:bookmarkEnd w:id="0"/>
      <w:r w:rsidRPr="000A653B">
        <w:rPr>
          <w:rFonts w:eastAsia="Times New Roman"/>
          <w:szCs w:val="24"/>
        </w:rPr>
        <w:t xml:space="preserve"> value of the shares of Fitbit Common Stock. Accordingly, any holders of shares of Fitbit Common Stock who desire to have their shares appraised should initiate all necessary action to perfect their appraisal rights in respect of their shares of Fitbit Common Stock within the time and in the manner prescribed in Section 262 of the DGCL. The failure of a holder of Fitbit Common Stock to file such a petition within the period specified in Section 262 of the DGCL could nullify the stockholder’s previous written demand for appraisal.</w:t>
      </w:r>
    </w:p>
    <w:p w:rsidR="000A653B" w:rsidRPr="000A653B" w:rsidRDefault="000A653B" w:rsidP="000A653B">
      <w:pPr>
        <w:rPr>
          <w:rFonts w:ascii="Times New Roman" w:eastAsia="Times New Roman" w:hAnsi="Times New Roman"/>
          <w:szCs w:val="24"/>
        </w:rPr>
      </w:pPr>
      <w:r w:rsidRPr="000A653B">
        <w:rPr>
          <w:rFonts w:eastAsia="Times New Roman"/>
          <w:szCs w:val="24"/>
        </w:rPr>
        <w:t>Within 120 days after the Effective Time, any holder of shares of Fitbit Common Stock who has complied with the requirements for exercise of appraisal rights will be entitled, upon written request, to receive from the Surviving Corporation a statement setting forth the aggregate number of shares not voted in favor of the adoption of the Merger Agreement and with respect to which we have received demands for appraisal, and the aggregate number of holders of such shares. The Surviving Corporation must mail this statement to the requesting stockholder within ten days after receipt of the written request for such a statement or within ten days after the expiration of the period for delivery of demands for appraisal, whichever is later. A beneficial owner of shares held either in a voting trust or by a nominee on behalf of such person may, in such person’s own name, file a petition seeking appraisal or request from the Surviving Corporation the foregoing statement. As noted above, however, the demand for appraisal can only be made by a stockholder of record.</w:t>
      </w:r>
    </w:p>
    <w:p w:rsidR="000A653B" w:rsidRPr="000A653B" w:rsidRDefault="000A653B" w:rsidP="000A653B">
      <w:pPr>
        <w:rPr>
          <w:rFonts w:ascii="Times New Roman" w:eastAsia="Times New Roman" w:hAnsi="Times New Roman"/>
          <w:szCs w:val="24"/>
        </w:rPr>
      </w:pPr>
      <w:r w:rsidRPr="000A653B">
        <w:rPr>
          <w:rFonts w:eastAsia="Times New Roman"/>
          <w:szCs w:val="24"/>
        </w:rPr>
        <w:t>If a petition for an appraisal is duly filed by a holder of shares of Fitbit Common Stock and a copy thereof is served upon the Surviving Corporation, the Surviving Corporation will then be obligated, within 20 days after such service, to file with the Delaware Register in Chancery a duly verified list (the “Verified List”) containing the names and addresses of all stockholders who have demanded payment for their shares and with whom agreements as to the value of their shares have not been reached. Upon the filing of any such petition, the Delaware Court of Chancery may order that notice of the time and place fixed for the hearing on the petition be mailed to the Surviving Corporation and all of the stockholders shown on the Verified List at the addresses stated therein. Such notice will also be published at least one week before the day of the hearing in a newspaper of general circulation published in the City of Wilmington, Delaware, or in another publication determined by the Delaware Court of Chancery. The costs of these notices are borne by the Surviving Corporation.</w:t>
      </w:r>
    </w:p>
    <w:p w:rsidR="000A653B" w:rsidRPr="000A653B" w:rsidRDefault="000A653B" w:rsidP="000A653B">
      <w:pPr>
        <w:rPr>
          <w:rFonts w:ascii="Times New Roman" w:eastAsia="Times New Roman" w:hAnsi="Times New Roman"/>
          <w:szCs w:val="24"/>
        </w:rPr>
      </w:pPr>
      <w:r w:rsidRPr="000A653B">
        <w:rPr>
          <w:rFonts w:eastAsia="Times New Roman"/>
          <w:szCs w:val="24"/>
        </w:rPr>
        <w:t>After notice to the stockholders as required by the court, the Delaware Court of Chancery is empowered to conduct a hearing on the petition to determine those stockholders who have complied with Section 262 of the DGCL and who have become entitled to appraisal rights thereunder. The Delaware Court of Chancery may require the stockholders who demanded appraisal of their shares to submit their stock certificates to the Register in Chancery for notation thereon of the pendency of the appraisal proceedings, and if any stockholder fails to comply with the direction, the Delaware Court of Chancery may dismiss that stockholder from the proceedings. The Delaware Court of Chancery will dismiss appraisal proceedings as to all our stockholders who are otherwise entitled to appraisal rights unless (1) the total number of shares for which appraisal rights have been demanded and perfected exceeds 1% of the outstanding shares of Fitbit Common Stock as measured in accordance with subsection (g) of Section 262 of the DGCL or (2) the value of the aggregate Merger Consideration in respect of such shares exceeds $1,000,000.</w:t>
      </w:r>
    </w:p>
    <w:p w:rsidR="000A653B" w:rsidRPr="000A653B" w:rsidRDefault="000A653B" w:rsidP="000A653B">
      <w:pPr>
        <w:rPr>
          <w:rFonts w:ascii="Times New Roman" w:eastAsia="Times New Roman" w:hAnsi="Times New Roman"/>
          <w:b/>
          <w:szCs w:val="24"/>
        </w:rPr>
      </w:pPr>
      <w:r w:rsidRPr="000A653B">
        <w:rPr>
          <w:rFonts w:eastAsia="Times New Roman"/>
          <w:b/>
          <w:i/>
          <w:iCs/>
          <w:szCs w:val="24"/>
        </w:rPr>
        <w:t>Determination of Fair Value</w:t>
      </w:r>
    </w:p>
    <w:p w:rsidR="000A653B" w:rsidRPr="000A653B" w:rsidRDefault="000A653B" w:rsidP="000A653B">
      <w:pPr>
        <w:rPr>
          <w:rFonts w:ascii="Times New Roman" w:eastAsia="Times New Roman" w:hAnsi="Times New Roman"/>
          <w:szCs w:val="24"/>
        </w:rPr>
      </w:pPr>
      <w:r w:rsidRPr="000A653B">
        <w:rPr>
          <w:rFonts w:eastAsia="Times New Roman"/>
          <w:szCs w:val="24"/>
        </w:rPr>
        <w:t>After the Delaware Court of Chancery determines the stockholders entitled to an appraisal, the appraisal proceeding will be conducted in accordance with the rules of the Court of Chancery, including any rules specifically governing appraisal proceedings. Through such proceeding, the Delaware Court of Chancery will determine the “fair value” of the shares of Fitbit Common Stock subject to appraisal, exclusive of any element of value arising from the accomplishment or expectation of the Merger, together with interest, if any, to be paid upon the amount determined to be the fair value. Upon application by the Surviving Corporation or by any stockholder entitled to participate in the appraisal proceeding, the Delaware Court of Chancery may, in its discretion, proceed to trial upon the appraisal prior to the final determination of the stockholders entitled to an appraisal. Any holder of shares whose name appears on the Verified List and, if such shares are represented by certificates and if so required, who has submitted such stockholder’s certificates of stock to the Delaware Register in Chancery, may participate fully in all proceedings until it is finally determined that such stockholder is not entitled to appraisal rights or that neither of the ownership thresholds is met. The Delaware Court of Chancery will direct the payment of the fair value of the shares, together with interest, if any, on the amount determined to be the fair value by the Surviving Corporation to the stockholders entitled thereto. Payment will be made to each such stockholder, in the case of holders of uncertificated stock, forthwith, and in the case of holders of shares represented by certificates, upon the surrender to the Surviving Corporation of the certificate(s) representing such stock. The Delaware Court of Chancery’s decree may be enforced as other decrees in such court may be enforced. Unless the court in its discretion determines otherwise for good cause shown, interest from the Effective Time through the date of payment of the judgment will be compounded quarterly and will accrue at 5% over the Federal Reserve discount rate (including any surcharge) as established from time to time during the period between the Effective Time and the date of payment of the judgment. However, the Surviving Corporation has the right, at any point prior to the Delaware Court of Chancery’s entry of judgment in the proceedings, to make a voluntary cash payment to each stockholder seeking appraisal. If the Surviving Corporation makes a voluntary cash payment pursuant to subsection (h) of Section 262 of the DGCL during the period between the Effective Time and the date of payment of the judgment, interest will accrue thereafter only on the sum of (1) the difference, if any, between the amount paid by the Surviving Corporation in such voluntary cash payment and the fair value of the shares as determined by the Delaware Court of Chancery and (2) interest theretofore accrued, unless paid at that time.</w:t>
      </w:r>
    </w:p>
    <w:p w:rsidR="000A653B" w:rsidRPr="000A653B" w:rsidRDefault="000A653B" w:rsidP="000A653B">
      <w:pPr>
        <w:rPr>
          <w:rFonts w:ascii="Times New Roman" w:eastAsia="Times New Roman" w:hAnsi="Times New Roman"/>
          <w:szCs w:val="24"/>
        </w:rPr>
      </w:pPr>
      <w:r w:rsidRPr="000A653B">
        <w:rPr>
          <w:rFonts w:eastAsia="Times New Roman"/>
          <w:szCs w:val="24"/>
        </w:rPr>
        <w:t xml:space="preserve">In determining fair value, the Delaware Court of Chancery will </w:t>
      </w:r>
      <w:proofErr w:type="gramStart"/>
      <w:r w:rsidRPr="000A653B">
        <w:rPr>
          <w:rFonts w:eastAsia="Times New Roman"/>
          <w:szCs w:val="24"/>
        </w:rPr>
        <w:t>take into account</w:t>
      </w:r>
      <w:proofErr w:type="gramEnd"/>
      <w:r w:rsidRPr="000A653B">
        <w:rPr>
          <w:rFonts w:eastAsia="Times New Roman"/>
          <w:szCs w:val="24"/>
        </w:rPr>
        <w:t xml:space="preserve"> all relevant factors. In</w:t>
      </w:r>
      <w:r w:rsidRPr="000A653B">
        <w:rPr>
          <w:rFonts w:eastAsia="Times New Roman"/>
          <w:i/>
          <w:iCs/>
          <w:szCs w:val="24"/>
        </w:rPr>
        <w:t> Weinberger v. UOP, Inc.</w:t>
      </w:r>
      <w:r w:rsidRPr="000A653B">
        <w:rPr>
          <w:rFonts w:eastAsia="Times New Roman"/>
          <w:szCs w:val="24"/>
        </w:rPr>
        <w:t>, the Supreme Court of Delaware discussed the factors that could be considered in determining fair value in an appraisal proceeding, stating that “proof of value by any techniques or methods which are generally considered acceptable in the financial community and otherwise admissible in court” should be considered, and that “[f]air price obviously requires consideration of all relevant factors involving the value of a company.” The Delaware Supreme Court stated that, in making this determination of fair value, the court must consider market value, asset value, dividends, earnings prospects, the nature of the enterprise and any other facts that could be ascertained as of the date of the merger that throw any light on future prospects of the merged corporation. Section 262 of the DGCL provides that fair value is to be “exclusive of any element of value arising from the accomplishment or expectation of the merger.” In</w:t>
      </w:r>
      <w:r w:rsidRPr="000A653B">
        <w:rPr>
          <w:rFonts w:eastAsia="Times New Roman"/>
          <w:i/>
          <w:iCs/>
          <w:szCs w:val="24"/>
        </w:rPr>
        <w:t> Cede &amp; Co. v. Technicolor, Inc.</w:t>
      </w:r>
      <w:r w:rsidRPr="000A653B">
        <w:rPr>
          <w:rFonts w:eastAsia="Times New Roman"/>
          <w:szCs w:val="24"/>
        </w:rPr>
        <w:t>, the Delaware Supreme Court stated that such exclusion is a “narrow exclusion [that] does not encompass known elements of value,” but which rather applies only to the speculative elements of value arising from such accomplishment or expectation. In</w:t>
      </w:r>
      <w:r w:rsidRPr="000A653B">
        <w:rPr>
          <w:rFonts w:eastAsia="Times New Roman"/>
          <w:i/>
          <w:iCs/>
          <w:szCs w:val="24"/>
        </w:rPr>
        <w:t> Weinberger</w:t>
      </w:r>
      <w:r w:rsidRPr="000A653B">
        <w:rPr>
          <w:rFonts w:eastAsia="Times New Roman"/>
          <w:szCs w:val="24"/>
        </w:rPr>
        <w:t>, the Supreme Court of Delaware also stated that “elements of future value, including the nature of the enterprise, which are known or susceptible of proof as of the date of the merger and not the product of speculation, may be considered.” In</w:t>
      </w:r>
      <w:r w:rsidRPr="000A653B">
        <w:rPr>
          <w:rFonts w:eastAsia="Times New Roman"/>
          <w:i/>
          <w:iCs/>
          <w:szCs w:val="24"/>
        </w:rPr>
        <w:t> Dell, Inc. v. Magnetar Global Event Driven Master Fund Ltd</w:t>
      </w:r>
      <w:r w:rsidRPr="000A653B">
        <w:rPr>
          <w:rFonts w:eastAsia="Times New Roman"/>
          <w:szCs w:val="24"/>
        </w:rPr>
        <w:t>., 177 A.3d 1 (Del. 2017) and</w:t>
      </w:r>
      <w:r w:rsidRPr="000A653B">
        <w:rPr>
          <w:rFonts w:eastAsia="Times New Roman"/>
          <w:i/>
          <w:iCs/>
          <w:szCs w:val="24"/>
        </w:rPr>
        <w:t> DFC Global Corp. v. Muirfield Value Partners, L.P</w:t>
      </w:r>
      <w:r w:rsidRPr="000A653B">
        <w:rPr>
          <w:rFonts w:eastAsia="Times New Roman"/>
          <w:szCs w:val="24"/>
        </w:rPr>
        <w:t>., 172 A.3d 346 (Del. 2017), the Delaware Supreme Court declined to adopt a presumption favoring reliance upon the deal price in determining fair value, but noted that the deal price is one of the relevant factors to be considered, and can often be the best evidence of fair value in arm’s-length mergers with a robust sales process.</w:t>
      </w:r>
    </w:p>
    <w:p w:rsidR="000A653B" w:rsidRPr="000A653B" w:rsidRDefault="000A653B" w:rsidP="000A653B">
      <w:pPr>
        <w:rPr>
          <w:rFonts w:ascii="Times New Roman" w:eastAsia="Times New Roman" w:hAnsi="Times New Roman"/>
          <w:szCs w:val="24"/>
        </w:rPr>
      </w:pPr>
      <w:r w:rsidRPr="000A653B">
        <w:rPr>
          <w:rFonts w:eastAsia="Times New Roman"/>
          <w:szCs w:val="24"/>
        </w:rPr>
        <w:t>Stockholders considering seeking appraisal should be aware that the fair value of their shares as so determined by the Delaware Court of Chancery could be more than, the same as or less than the consideration they would receive pursuant to the Merger if they did not seek appraisal of their shares and that an opinion of an investment banking firm as to the fairness from a financial point of view of the consideration payable in a Merger is not an opinion as to, and may not in any manner address, “fair value” under Section 262 of the DGCL. </w:t>
      </w:r>
      <w:r w:rsidRPr="000A653B">
        <w:rPr>
          <w:rFonts w:eastAsia="Times New Roman"/>
          <w:b/>
          <w:szCs w:val="24"/>
        </w:rPr>
        <w:t xml:space="preserve">Although we believe that the Merger Consideration is fair, </w:t>
      </w:r>
      <w:r>
        <w:rPr>
          <w:rFonts w:eastAsia="Times New Roman"/>
          <w:b/>
          <w:szCs w:val="24"/>
        </w:rPr>
        <w:t>n</w:t>
      </w:r>
      <w:r w:rsidRPr="000A653B">
        <w:rPr>
          <w:rFonts w:eastAsia="Times New Roman"/>
          <w:b/>
          <w:szCs w:val="24"/>
        </w:rPr>
        <w:t xml:space="preserve">o representation is made as to the outcome of the appraisal of fair value as determined by the Delaware Court of Chancery, and stockholders should recognize that such an appraisal could result in a determination of a value higher or lower than, or the same as, the Merger Consideration. </w:t>
      </w:r>
      <w:r w:rsidRPr="000A653B">
        <w:rPr>
          <w:rFonts w:eastAsia="Times New Roman"/>
          <w:szCs w:val="24"/>
        </w:rPr>
        <w:t>Neither we nor Google anticipates offering more than the Merger Consideration to any stockholder exercising appraisal rights, and we and Google each reserve the right to make a voluntary cash payment pursuant to subsection (h) of Section 262 and to assert, in any appraisal proceeding, that for purposes of Section 262 of the DGCL, the “fair value” of a share of Fitbit Common Stock is less than the Merger Consideration. If a petition for appraisal is not timely filed or if neither of the ownership thresholds is met, then the right to an appraisal will cease.</w:t>
      </w:r>
    </w:p>
    <w:p w:rsidR="000A653B" w:rsidRPr="000A653B" w:rsidRDefault="000A653B" w:rsidP="000A653B">
      <w:pPr>
        <w:rPr>
          <w:rFonts w:ascii="Times New Roman" w:eastAsia="Times New Roman" w:hAnsi="Times New Roman"/>
          <w:szCs w:val="24"/>
        </w:rPr>
      </w:pPr>
      <w:r w:rsidRPr="000A653B">
        <w:rPr>
          <w:rFonts w:eastAsia="Times New Roman"/>
          <w:szCs w:val="24"/>
        </w:rPr>
        <w:t>The costs of the appraisal proceedings (which do not include attorneys’ fees or the fees and expenses of experts) may be determined by the Delaware Court of Chancery and taxed upon the parties as the Delaware Court of Chancery deems equitable under the circumstances. Upon application of a stockholder, the Delaware Court of Chancery may also order that all or a portion of the expenses incurred by a stockholder in connection with an appraisal, including, without limitation, reasonable attorneys’ fees and the fees and expenses of experts, be charged pro rata against the value of all the shares entitled to appraisal. In the absence of such an order, each party bears its own expenses.</w:t>
      </w:r>
    </w:p>
    <w:p w:rsidR="000A653B" w:rsidRPr="000A653B" w:rsidRDefault="000A653B" w:rsidP="000A653B">
      <w:pPr>
        <w:rPr>
          <w:rFonts w:ascii="Times New Roman" w:eastAsia="Times New Roman" w:hAnsi="Times New Roman"/>
          <w:szCs w:val="24"/>
        </w:rPr>
      </w:pPr>
      <w:r w:rsidRPr="000A653B">
        <w:rPr>
          <w:rFonts w:eastAsia="Times New Roman"/>
          <w:szCs w:val="24"/>
        </w:rPr>
        <w:t>If any stockholder who demands appraisal of his, her or its shares of Fitbit Common Stock under Section 262 of the DGCL fails to perfect, or loses or successfully withdraws, such holder’s right to appraisal, as provided in the DGCL, the stockholder’s shares of Fitbit Common Stock will No longer be entitled to an appraisal under Section 262 of the DGCL and will instead be deemed to have been converted at the Effective Time into the right to receive the consideration payable in the Merger, without interest and subject to any applicable withholding taxes. A stockholder will fail to perfect, or effectively lose or withdraw, the holder’s right to appraisal if No petition for appraisal is filed within 120 days after the Effective Time, if neither of the ownership thresholds is met or if the stockholder delivers to the Surviving Corporation a written withdrawal of the holder’s demand for appraisal and an acceptance of the consideration payable in the Merger in accordance with Section 262 of the DGCL, except that any such attempt to withdraw made more than 60 days after the Effective Time will require the written approval of the Surviving Corporation.</w:t>
      </w:r>
    </w:p>
    <w:p w:rsidR="000A653B" w:rsidRPr="000A653B" w:rsidRDefault="000A653B" w:rsidP="000A653B">
      <w:pPr>
        <w:rPr>
          <w:rFonts w:ascii="Times New Roman" w:eastAsia="Times New Roman" w:hAnsi="Times New Roman"/>
          <w:szCs w:val="24"/>
        </w:rPr>
      </w:pPr>
      <w:r w:rsidRPr="000A653B">
        <w:rPr>
          <w:rFonts w:eastAsia="Times New Roman"/>
          <w:szCs w:val="24"/>
        </w:rPr>
        <w:t xml:space="preserve">From and after the Effective Time, </w:t>
      </w:r>
      <w:proofErr w:type="gramStart"/>
      <w:r w:rsidRPr="000A653B">
        <w:rPr>
          <w:rFonts w:eastAsia="Times New Roman"/>
          <w:szCs w:val="24"/>
        </w:rPr>
        <w:t>No</w:t>
      </w:r>
      <w:proofErr w:type="gramEnd"/>
      <w:r w:rsidRPr="000A653B">
        <w:rPr>
          <w:rFonts w:eastAsia="Times New Roman"/>
          <w:szCs w:val="24"/>
        </w:rPr>
        <w:t> stockholder who has duly demanded appraisal rights will be entitled to vote such shares of Fitbit Common Stock subject to such demand for any purpose or to receive payment of dividends or other distributions on the stock, except dividends or other distributions on the holder’s shares of Fitbit Common Stock, if any, payable to stockholders as of a time prior to the Effective Time.</w:t>
      </w:r>
    </w:p>
    <w:p w:rsidR="000A653B" w:rsidRPr="000A653B" w:rsidRDefault="000A653B" w:rsidP="000A653B">
      <w:pPr>
        <w:rPr>
          <w:rFonts w:ascii="Times New Roman" w:eastAsia="Times New Roman" w:hAnsi="Times New Roman"/>
          <w:b/>
        </w:rPr>
      </w:pPr>
      <w:r w:rsidRPr="000A653B">
        <w:rPr>
          <w:rFonts w:eastAsia="Times New Roman"/>
          <w:b/>
          <w:szCs w:val="24"/>
        </w:rPr>
        <w:t>Failure to comply strictly with all of the procedures set forth in Section 262 of the DGCL may result in the loss of a stockholder’s statutory appraisal rights, in which event a holder of Fitbit Common Stock will be entitled to receive the Merger Consideration. Consequently, any stockholder wishing to exercise appraisal rights is encouraged to consult legal counsel before attempting</w:t>
      </w:r>
      <w:r w:rsidRPr="000A653B">
        <w:rPr>
          <w:rFonts w:eastAsia="Times New Roman"/>
          <w:b/>
        </w:rPr>
        <w:t xml:space="preserve"> to exercise those rights.</w:t>
      </w:r>
    </w:p>
    <w:p w:rsidR="000A653B" w:rsidRDefault="000A653B">
      <w:r>
        <w:br w:type="page"/>
      </w:r>
    </w:p>
    <w:p w:rsidR="000A653B" w:rsidRPr="000A653B" w:rsidRDefault="000A653B" w:rsidP="000A653B">
      <w:pPr>
        <w:jc w:val="center"/>
        <w:rPr>
          <w:rFonts w:ascii="Times New Roman" w:eastAsia="Times New Roman" w:hAnsi="Times New Roman"/>
          <w:b/>
        </w:rPr>
      </w:pPr>
      <w:r w:rsidRPr="000A653B">
        <w:rPr>
          <w:rFonts w:eastAsia="Times New Roman"/>
          <w:b/>
        </w:rPr>
        <w:t>ANNEX C</w:t>
      </w:r>
    </w:p>
    <w:p w:rsidR="000A653B" w:rsidRPr="000A653B" w:rsidRDefault="000A653B" w:rsidP="000A653B">
      <w:pPr>
        <w:jc w:val="center"/>
        <w:rPr>
          <w:rFonts w:ascii="Times New Roman" w:eastAsia="Times New Roman" w:hAnsi="Times New Roman"/>
          <w:b/>
        </w:rPr>
      </w:pPr>
      <w:r w:rsidRPr="000A653B">
        <w:rPr>
          <w:rFonts w:eastAsia="Times New Roman"/>
          <w:b/>
        </w:rPr>
        <w:t xml:space="preserve">SECTION 262 OF THE GENERAL CORPORATION </w:t>
      </w:r>
      <w:r>
        <w:rPr>
          <w:rFonts w:eastAsia="Times New Roman"/>
          <w:b/>
        </w:rPr>
        <w:br/>
      </w:r>
      <w:r w:rsidRPr="000A653B">
        <w:rPr>
          <w:rFonts w:eastAsia="Times New Roman"/>
          <w:b/>
        </w:rPr>
        <w:t>LAW OF THE STATE OF DELAWARE</w:t>
      </w:r>
      <w:r>
        <w:rPr>
          <w:rFonts w:eastAsia="Times New Roman"/>
          <w:b/>
        </w:rPr>
        <w:t xml:space="preserve"> </w:t>
      </w:r>
      <w:r>
        <w:rPr>
          <w:rFonts w:eastAsia="Times New Roman"/>
          <w:b/>
        </w:rPr>
        <w:br/>
        <w:t>[Statute as of November 225, 2019]</w:t>
      </w:r>
    </w:p>
    <w:p w:rsidR="000A653B" w:rsidRPr="000A653B" w:rsidRDefault="000A653B" w:rsidP="000A653B">
      <w:pPr>
        <w:rPr>
          <w:rFonts w:ascii="Times New Roman" w:eastAsia="Times New Roman" w:hAnsi="Times New Roman"/>
        </w:rPr>
      </w:pPr>
    </w:p>
    <w:p w:rsidR="000A653B" w:rsidRPr="000A653B" w:rsidRDefault="000A653B" w:rsidP="000A653B">
      <w:pPr>
        <w:rPr>
          <w:rFonts w:ascii="Times New Roman" w:eastAsia="Times New Roman" w:hAnsi="Times New Roman"/>
        </w:rPr>
      </w:pPr>
      <w:r w:rsidRPr="000A653B">
        <w:rPr>
          <w:rFonts w:eastAsia="Times New Roman"/>
          <w:shd w:val="clear" w:color="auto" w:fill="FFFFFF"/>
        </w:rPr>
        <w:t>(a) Any stockholder of a corporation of this State who holds shares of stock on the date of the making of a demand pursuant to subsection (d) of this section with respect to such shares, who continuously holds such shares through the effective date of the merger or consolidation, who has otherwise complied with subsection (d) of this section and who has neither voted in favor of the merger or consolidation nor consented thereto in writing pursuant to §228 of this title shall be entitled to an appraisal by the Court of Chancery of the fair value of the stockholder’s shares of stock under the circumstances described in subsections (b) and (c) of this section. As used in this section, the word “stockholder” means a holder of record of stock in a corporation; the words “stock” and “share” mean and include what is ordinarily meant by those words; and the words “depository receipt” mean a receipt or other instrument issued by a depository representing an interest in 1 or more shares, or fractions thereof, solely of stock of a corporation, which stock is deposited with the depository.</w:t>
      </w:r>
    </w:p>
    <w:p w:rsidR="000A653B" w:rsidRPr="000A653B" w:rsidRDefault="000A653B" w:rsidP="000A653B">
      <w:pPr>
        <w:rPr>
          <w:rFonts w:ascii="Times New Roman" w:eastAsia="Times New Roman" w:hAnsi="Times New Roman"/>
        </w:rPr>
      </w:pPr>
      <w:r w:rsidRPr="000A653B">
        <w:rPr>
          <w:rFonts w:eastAsia="Times New Roman"/>
          <w:shd w:val="clear" w:color="auto" w:fill="FFFFFF"/>
        </w:rPr>
        <w:t xml:space="preserve">(b) Appraisal rights shall be available for the shares of any class or series of stock of a constituent corporation in a merger or consolidation to be </w:t>
      </w:r>
      <w:proofErr w:type="gramStart"/>
      <w:r w:rsidRPr="000A653B">
        <w:rPr>
          <w:rFonts w:eastAsia="Times New Roman"/>
          <w:shd w:val="clear" w:color="auto" w:fill="FFFFFF"/>
        </w:rPr>
        <w:t>effected</w:t>
      </w:r>
      <w:proofErr w:type="gramEnd"/>
      <w:r w:rsidRPr="000A653B">
        <w:rPr>
          <w:rFonts w:eastAsia="Times New Roman"/>
          <w:shd w:val="clear" w:color="auto" w:fill="FFFFFF"/>
        </w:rPr>
        <w:t xml:space="preserve"> pursuant to §251 (other than a merger effected pursuant to §251(g) of this title), §252, §254, §255, §256, §257, §258, §263 or §264 of this title:</w:t>
      </w:r>
    </w:p>
    <w:p w:rsidR="000A653B" w:rsidRPr="000A653B" w:rsidRDefault="000A653B" w:rsidP="005E43A9">
      <w:pPr>
        <w:ind w:left="720"/>
        <w:rPr>
          <w:rFonts w:ascii="Times New Roman" w:eastAsia="Times New Roman" w:hAnsi="Times New Roman"/>
        </w:rPr>
      </w:pPr>
      <w:r w:rsidRPr="000A653B">
        <w:rPr>
          <w:rFonts w:eastAsia="Times New Roman"/>
          <w:shd w:val="clear" w:color="auto" w:fill="FFFFFF"/>
        </w:rPr>
        <w:t>(1) Provided, however, that, except as expressly provided in §363(b) of this title, No appraisal rights under this section shall be available for the shares of any class or series of stock, which stock, or depository receipts in respect thereof, at the record date fixed to determine the stockholders entitled to receive notice of the meeting of stockholders to act upon the agreement of merger or consolidation (or, in the case of a merger pursuant to §251(h), as of immediately prior to the execution of the agreement of merger), were either: (</w:t>
      </w:r>
      <w:proofErr w:type="spellStart"/>
      <w:r w:rsidRPr="000A653B">
        <w:rPr>
          <w:rFonts w:eastAsia="Times New Roman"/>
          <w:shd w:val="clear" w:color="auto" w:fill="FFFFFF"/>
        </w:rPr>
        <w:t>i</w:t>
      </w:r>
      <w:proofErr w:type="spellEnd"/>
      <w:r w:rsidRPr="000A653B">
        <w:rPr>
          <w:rFonts w:eastAsia="Times New Roman"/>
          <w:shd w:val="clear" w:color="auto" w:fill="FFFFFF"/>
        </w:rPr>
        <w:t>) listed on a national securities exchange or (ii) held of record by more than 2,000 holders; and further provided that No appraisal rights shall be available for any shares of stock of the constituent corporation surviving a merger if the merger did not require for its approval the vote of the stockholders of the Surviving Corporation as provided in §251(f) of this title.</w:t>
      </w:r>
    </w:p>
    <w:p w:rsidR="000A653B" w:rsidRPr="000A653B" w:rsidRDefault="000A653B" w:rsidP="005E43A9">
      <w:pPr>
        <w:ind w:left="720"/>
        <w:rPr>
          <w:rFonts w:ascii="Times New Roman" w:eastAsia="Times New Roman" w:hAnsi="Times New Roman"/>
        </w:rPr>
      </w:pPr>
      <w:r w:rsidRPr="000A653B">
        <w:rPr>
          <w:rFonts w:eastAsia="Times New Roman"/>
          <w:shd w:val="clear" w:color="auto" w:fill="FFFFFF"/>
        </w:rPr>
        <w:t>(2) Notwithstanding paragraph (b)(1) of this section, appraisal rights under this section shall be available for the shares of any class or series of stock of a constituent corporation if the holders thereof are required by the terms of an agreement of merger or consolidation pursuant to §§251, 252, 254, 255, 256, 257, 258, 263 and 264 of this title to accept for such stock anything except:</w:t>
      </w:r>
    </w:p>
    <w:p w:rsidR="000A653B" w:rsidRPr="000A653B" w:rsidRDefault="000A653B" w:rsidP="005E43A9">
      <w:pPr>
        <w:ind w:left="1440"/>
        <w:rPr>
          <w:rFonts w:ascii="Times New Roman" w:eastAsia="Times New Roman" w:hAnsi="Times New Roman"/>
        </w:rPr>
      </w:pPr>
      <w:r w:rsidRPr="000A653B">
        <w:rPr>
          <w:rFonts w:eastAsia="Times New Roman"/>
          <w:shd w:val="clear" w:color="auto" w:fill="FFFFFF"/>
        </w:rPr>
        <w:t>a. Shares of stock of the corporation surviving or resulting from such merger or consolidation, or depository receipts in respect thereof;</w:t>
      </w:r>
    </w:p>
    <w:p w:rsidR="000A653B" w:rsidRPr="000A653B" w:rsidRDefault="000A653B" w:rsidP="005E43A9">
      <w:pPr>
        <w:ind w:left="1440"/>
        <w:rPr>
          <w:rFonts w:ascii="Times New Roman" w:eastAsia="Times New Roman" w:hAnsi="Times New Roman"/>
        </w:rPr>
      </w:pPr>
      <w:r w:rsidRPr="000A653B">
        <w:rPr>
          <w:rFonts w:eastAsia="Times New Roman"/>
          <w:shd w:val="clear" w:color="auto" w:fill="FFFFFF"/>
        </w:rPr>
        <w:t>b. Shares of stock of any other corporation, or depository receipts in respect thereof, which shares of stock (or depository receipts in respect thereof) or depository receipts at the effective date of the merger or consolidation will be either listed on a national securities exchange or held of record by more than 2,000 holders;</w:t>
      </w:r>
    </w:p>
    <w:p w:rsidR="000A653B" w:rsidRPr="000A653B" w:rsidRDefault="000A653B" w:rsidP="005E43A9">
      <w:pPr>
        <w:ind w:left="1440"/>
        <w:rPr>
          <w:rFonts w:ascii="Times New Roman" w:eastAsia="Times New Roman" w:hAnsi="Times New Roman"/>
        </w:rPr>
      </w:pPr>
      <w:r w:rsidRPr="000A653B">
        <w:rPr>
          <w:rFonts w:eastAsia="Times New Roman"/>
          <w:shd w:val="clear" w:color="auto" w:fill="FFFFFF"/>
        </w:rPr>
        <w:t>c. Cash in lieu of fractional shares or fractional depository receipts described in the foregoing paragraphs (b)(</w:t>
      </w:r>
      <w:proofErr w:type="gramStart"/>
      <w:r w:rsidRPr="000A653B">
        <w:rPr>
          <w:rFonts w:eastAsia="Times New Roman"/>
          <w:shd w:val="clear" w:color="auto" w:fill="FFFFFF"/>
        </w:rPr>
        <w:t>2)a.</w:t>
      </w:r>
      <w:proofErr w:type="gramEnd"/>
      <w:r w:rsidRPr="000A653B">
        <w:rPr>
          <w:rFonts w:eastAsia="Times New Roman"/>
          <w:shd w:val="clear" w:color="auto" w:fill="FFFFFF"/>
        </w:rPr>
        <w:t xml:space="preserve"> and b. of this section; or</w:t>
      </w:r>
    </w:p>
    <w:p w:rsidR="000A653B" w:rsidRPr="000A653B" w:rsidRDefault="000A653B" w:rsidP="005E43A9">
      <w:pPr>
        <w:ind w:left="1440"/>
        <w:rPr>
          <w:rFonts w:ascii="Times New Roman" w:eastAsia="Times New Roman" w:hAnsi="Times New Roman"/>
        </w:rPr>
      </w:pPr>
      <w:r w:rsidRPr="000A653B">
        <w:rPr>
          <w:rFonts w:eastAsia="Times New Roman"/>
          <w:shd w:val="clear" w:color="auto" w:fill="FFFFFF"/>
        </w:rPr>
        <w:t>d. Any combination of the shares of stock, depository receipts and cash in lieu of fractional shares or fractional depository receipts described in the foregoing paragraphs (b)(</w:t>
      </w:r>
      <w:proofErr w:type="gramStart"/>
      <w:r w:rsidRPr="000A653B">
        <w:rPr>
          <w:rFonts w:eastAsia="Times New Roman"/>
          <w:shd w:val="clear" w:color="auto" w:fill="FFFFFF"/>
        </w:rPr>
        <w:t>2)a.</w:t>
      </w:r>
      <w:proofErr w:type="gramEnd"/>
      <w:r w:rsidRPr="000A653B">
        <w:rPr>
          <w:rFonts w:eastAsia="Times New Roman"/>
          <w:shd w:val="clear" w:color="auto" w:fill="FFFFFF"/>
        </w:rPr>
        <w:t>, b. and c. of this section.</w:t>
      </w:r>
    </w:p>
    <w:p w:rsidR="000A653B" w:rsidRPr="000A653B" w:rsidRDefault="000A653B" w:rsidP="005E43A9">
      <w:pPr>
        <w:ind w:left="720"/>
        <w:rPr>
          <w:rFonts w:ascii="Times New Roman" w:eastAsia="Times New Roman" w:hAnsi="Times New Roman"/>
        </w:rPr>
      </w:pPr>
      <w:r w:rsidRPr="000A653B">
        <w:rPr>
          <w:rFonts w:eastAsia="Times New Roman"/>
          <w:shd w:val="clear" w:color="auto" w:fill="FFFFFF"/>
        </w:rPr>
        <w:t>(3) In the event all of the stock of a subsidiary Delaware corporation party to a merger effected under §253 or §267 of this title is not owned by the parent immediately prior to the merger, appraisal rights shall be available for the shares of the subsidiary Delaware corporation.</w:t>
      </w:r>
    </w:p>
    <w:p w:rsidR="000A653B" w:rsidRPr="000A653B" w:rsidRDefault="000A653B" w:rsidP="005E43A9">
      <w:pPr>
        <w:ind w:left="720"/>
        <w:rPr>
          <w:rFonts w:ascii="Times New Roman" w:eastAsia="Times New Roman" w:hAnsi="Times New Roman"/>
        </w:rPr>
      </w:pPr>
      <w:r w:rsidRPr="000A653B">
        <w:rPr>
          <w:rFonts w:eastAsia="Times New Roman"/>
          <w:shd w:val="clear" w:color="auto" w:fill="FFFFFF"/>
        </w:rPr>
        <w:t>(4) In the event of an amendment to a corporation’s certificate of incorporation contemplated by §363(a) of this title, appraisal rights shall be available as contemplated by §363(b) of this title, and the procedures of this section, including those set forth in subsections (d) and (e) of this section, shall apply as nearly as practicable, with the word “amendment” substituted for the words “merger or consolidation,” and the word “corporation” substituted for the words “constituent corporation” and/or “surviving or resulting corporation.”</w:t>
      </w:r>
    </w:p>
    <w:p w:rsidR="000A653B" w:rsidRPr="000A653B" w:rsidRDefault="000A653B" w:rsidP="005E43A9">
      <w:pPr>
        <w:rPr>
          <w:rFonts w:ascii="Times New Roman" w:eastAsia="Times New Roman" w:hAnsi="Times New Roman"/>
        </w:rPr>
      </w:pPr>
      <w:r w:rsidRPr="000A653B">
        <w:rPr>
          <w:rFonts w:eastAsia="Times New Roman"/>
          <w:shd w:val="clear" w:color="auto" w:fill="FFFFFF"/>
        </w:rPr>
        <w:t>(c) Any corporation may provide in its certificate of incorporation that appraisal rights under this section shall be available for the shares of any class or series of its stock as a result of an amendment to its certificate of incorporation, any merger or consolidation in which the corporation is a constituent corporation or the sale of all or substantially all of the assets of the corporation. If the certificate of incorporation contains such a provision, the provisions of this section, including those set forth in subsections (d), (e), and (g) of this section, shall apply as nearly as is practicable.</w:t>
      </w:r>
    </w:p>
    <w:p w:rsidR="000A653B" w:rsidRPr="000A653B" w:rsidRDefault="000A653B" w:rsidP="000A653B">
      <w:pPr>
        <w:rPr>
          <w:rFonts w:ascii="Times New Roman" w:eastAsia="Times New Roman" w:hAnsi="Times New Roman"/>
        </w:rPr>
      </w:pPr>
      <w:r w:rsidRPr="000A653B">
        <w:rPr>
          <w:rFonts w:eastAsia="Times New Roman"/>
          <w:shd w:val="clear" w:color="auto" w:fill="FFFFFF"/>
        </w:rPr>
        <w:t>(d) Appraisal rights shall be perfected as follows:</w:t>
      </w:r>
    </w:p>
    <w:p w:rsidR="000A653B" w:rsidRPr="000A653B" w:rsidRDefault="000A653B" w:rsidP="000A653B">
      <w:pPr>
        <w:ind w:left="720"/>
        <w:rPr>
          <w:rFonts w:ascii="Times New Roman" w:eastAsia="Times New Roman" w:hAnsi="Times New Roman"/>
        </w:rPr>
      </w:pPr>
      <w:r w:rsidRPr="000A653B">
        <w:rPr>
          <w:rFonts w:eastAsia="Times New Roman"/>
          <w:shd w:val="clear" w:color="auto" w:fill="FFFFFF"/>
        </w:rPr>
        <w:t>(1) If a proposed merger or consolidation for which appraisal rights are provided under this section is to be submitted for approval at a meeting of stockholders, the corporation, not less than 20 days prior to the meeting, shall notify each of its stockholders who was such on the record date for notice of such meeting (or such members who received notice in accordance with §255(c) of this title) with respect to shares for which appraisal rights are available pursuant to subsection (b) or (c) of this section that appraisal rights are available for any or all of the shares of the constituent corporations, and shall include in such notice a copy of this section and, if 1 of the constituent corporations is a nonstock corporation, a copy of §114 of this title. Each stockholder electing to demand the appraisal of such stockholder’s shares shall deliver to the corporation, before the taking of the vote on the merger or consolidation, a written demand for appraisal of such stockholder’s shares; provided that a demand may be delivered to the corporation by electronic transmission if directed to an information processing system (if any) expressly designated for that purpose in such notice. Such demand will be sufficient if it reasonably informs the corporation of the identity of the stockholder and that the stockholder intends thereby to demand the appraisal of such stockholder’s shares. A proxy or vote against the merger or consolidation shall not constitute such a demand. A stockholder electing to take such action must do so by a separate written demand as herein provided. Within 10 days after the effective date of such merger or consolidation, the surviving or resulting corporation shall notify each stockholder of each constituent corporation who has complied with this subsection and has not voted in favor of or consented to the merger or consolidation of the date that the merger or consolidation has become effective; or</w:t>
      </w:r>
    </w:p>
    <w:p w:rsidR="000A653B" w:rsidRPr="000A653B" w:rsidRDefault="000A653B" w:rsidP="000A653B">
      <w:pPr>
        <w:ind w:left="720"/>
        <w:rPr>
          <w:rFonts w:ascii="Times New Roman" w:eastAsia="Times New Roman" w:hAnsi="Times New Roman"/>
        </w:rPr>
      </w:pPr>
      <w:r w:rsidRPr="000A653B">
        <w:rPr>
          <w:rFonts w:eastAsia="Times New Roman"/>
          <w:shd w:val="clear" w:color="auto" w:fill="FFFFFF"/>
        </w:rPr>
        <w:t>(2) If the merger or consolidation was approved pursuant to §228, §251(h), §253, or §267 of this title, then either a constituent corporation before the effective date of the merger or consolidation or the surviving or resulting corporation within 10 days thereafter shall notify each of the holders of any class or series of stock of such constituent corporation who are entitled to appraisal rights of the approval of the merger or consolidation and that appraisal rights are available for any or all shares of such class or series of stock of such constituent corporation, and shall include in such notice a copy of this section and, if 1 of the constituent corporations is a nonstock corporation, a copy of §114 of this title. Such notice may, and, if given on or after the effective date of the merger or consolidation, shall, also notify such stockholders of the effective date of the merger or consolidation. Any stockholder entitled to appraisal rights may, within 20 days after the date of giving such notice or, in the case of a merger approved pursuant to §251(h) of this title, within the later of the consummation of the offer contemplated by §251(h) of this title and 20 days after the date of giving such notice, demand in writing from the surviving or resulting corporation the appraisal of such holder’s shares; provided that a demand may be delivered to the corporation by electronic transmission if directed to an information processing system (if any) expressly designated for that purpose in such notice. Such demand will be sufficient if it reasonably informs the corporation of the identity of the stockholder and that the stockholder intends thereby to demand the appraisal of such holder’s shares. If such notice did not notify stockholders of the effective date of the merger or consolidation, either (</w:t>
      </w:r>
      <w:proofErr w:type="spellStart"/>
      <w:r w:rsidRPr="000A653B">
        <w:rPr>
          <w:rFonts w:eastAsia="Times New Roman"/>
          <w:shd w:val="clear" w:color="auto" w:fill="FFFFFF"/>
        </w:rPr>
        <w:t>i</w:t>
      </w:r>
      <w:proofErr w:type="spellEnd"/>
      <w:r w:rsidRPr="000A653B">
        <w:rPr>
          <w:rFonts w:eastAsia="Times New Roman"/>
          <w:shd w:val="clear" w:color="auto" w:fill="FFFFFF"/>
        </w:rPr>
        <w:t>) each such constituent corporation shall send a second notice before the effective date of the merger or consolidation notifying each of the holders of any class or series of stock of such constituent corporation that are entitled to appraisal rights of the effective date of the merger or consolidation or (ii) the surviving or resulting corporation shall send such a second notice to all such holders on or within 10 days after such effective date; provided, however, that if such second notice is sent more than 20 days following the sending of the first notice or, in the case of a merger approved pursuant to §251(h) of this title, later than the later of the consummation of the offer contemplated by §251(h) of this title and 20 days following the sending of the first notice, such second notice need only be sent to each stockholder who is entitled to appraisal rights and who has demanded appraisal of such holder’s shares in accordance with this subsection. An affidavit of the secretary or assistant secretary or of the transfer agent of the corporation that is required to give either notice that such notice has been given shall, in the absence of fraud, be prima facie evidence of the facts stated therein. For purposes of determining the stockholders entitled to receive either notice, each constituent corporation may fix, in advance, a record date that shall be not more than 10 days prior to the date the notice is given, provided, that if the notice is given on or after the effective date of the merger or consolidation, the record date shall be such effective date. If No record date is fixed and the notice is given prior to the effective date, the record date shall be the close of business on the day next preceding the day on which the notice is given.</w:t>
      </w:r>
      <w:r>
        <w:rPr>
          <w:rFonts w:eastAsia="Times New Roman"/>
          <w:shd w:val="clear" w:color="auto" w:fill="FFFFFF"/>
        </w:rPr>
        <w:t xml:space="preserve"> </w:t>
      </w:r>
    </w:p>
    <w:p w:rsidR="000A653B" w:rsidRPr="000A653B" w:rsidRDefault="000A653B" w:rsidP="000A653B">
      <w:pPr>
        <w:rPr>
          <w:rFonts w:ascii="Times New Roman" w:eastAsia="Times New Roman" w:hAnsi="Times New Roman"/>
        </w:rPr>
      </w:pPr>
      <w:r w:rsidRPr="000A653B">
        <w:rPr>
          <w:rFonts w:eastAsia="Times New Roman"/>
          <w:shd w:val="clear" w:color="auto" w:fill="FFFFFF"/>
        </w:rPr>
        <w:t>(e) Within 120 days after the effective date of the merger or consolidation, the surviving or resulting corporation or any stockholder who has complied with subsections (a) and (d) of this section hereof and who is otherwise entitled to appraisal rights, may commence an appraisal proceeding by filing a petition in the Court of Chancery demanding a determination of the value of the stock of all such stockholders. Notwithstanding the foregoing, at any time within 60 days after the effective date of the merger or consolidation, any stockholder who has not commenced an appraisal proceeding or joined that proceeding as a named party shall have the right to withdraw such stockholder’s demand for appraisal and to accept the terms offered upon the merger or consolidation. Within 120 days after the effective date of the merger or consolidation, any stockholder who has complied with the requirements of subsections (a) and (d) of this section hereof, upon request given in writing (or by electronic transmission directed to an information processing system (if any) expressly designated for that purpose in the notice of appraisal), shall be entitled to receive from the corporation surviving the merger or resulting from the consolidation a statement setting forth the aggregate number of shares not voted in favor of the merger or consolidation (or, in the case of a merger approved pursuant to §251(h) of this title, the aggregate number of shares (other than any excluded stock (as defined in §251(h)(6)d. of this title)) that were the subject of, and were not tendered into, and accepted for purchase or exchange in, the offer referred to in §251(h)(2)), and, in either case, with respect to which demands for appraisal have been received and the aggregate number of holders of such shares. Such statement shall be given to the stockholder within 10 days after such stockholder’s request for such a statement is received by the surviving or resulting corporation or within 10 days after expiration of the period for delivery of demands for appraisal under subsection (d) of this section hereof, whichever is later. Notwithstanding subsection (a) of this section, a person who is the beneficial owner of shares of such stock held either in a voting trust or by a nominee on behalf of such person may, in such person’s own name, file a petition or request from the corporation the statement described in this subsection.</w:t>
      </w:r>
    </w:p>
    <w:p w:rsidR="000A653B" w:rsidRPr="000A653B" w:rsidRDefault="000A653B" w:rsidP="000A653B">
      <w:pPr>
        <w:rPr>
          <w:rFonts w:ascii="Times New Roman" w:eastAsia="Times New Roman" w:hAnsi="Times New Roman"/>
        </w:rPr>
      </w:pPr>
      <w:r w:rsidRPr="000A653B">
        <w:rPr>
          <w:rFonts w:eastAsia="Times New Roman"/>
          <w:shd w:val="clear" w:color="auto" w:fill="FFFFFF"/>
        </w:rPr>
        <w:t>(f) Upon the filing of any such petition by a stockholder, service of a copy thereof shall be made upon the surviving or resulting corporation, which shall within 20 days after such service file in the office of the Register in Chancery in which the petition was filed a duly verified list containing the names and addresses of all stockholders who have demanded payment for their shares and with whom agreements as to the value of their shares have not been reached by the surviving or resulting corporation. If the petition shall be filed by the surviving or resulting corporation, the petition shall be accompanied by such a duly verified list. The Register in Chancery, if so ordered by the Court, shall give notice of the time and place fixed for the hearing of such petition by registered or certified mail to the surviving or resulting corporation and to the stockholders shown on the list at the addresses therein stated. Such notice shall also be given by 1 or more publications at least 1 week before the day of the hearing, in a newspaper of general circulation published in the City of Wilmington, Delaware or such publication as the Court deems advisable. The forms of the notices by mail and by publication shall be approved by the Court, and the costs thereof shall be borne by the surviving or resulting corporation.</w:t>
      </w:r>
    </w:p>
    <w:p w:rsidR="000A653B" w:rsidRPr="000A653B" w:rsidRDefault="000A653B" w:rsidP="000A653B">
      <w:pPr>
        <w:rPr>
          <w:rFonts w:ascii="Times New Roman" w:eastAsia="Times New Roman" w:hAnsi="Times New Roman"/>
        </w:rPr>
      </w:pPr>
      <w:r w:rsidRPr="000A653B">
        <w:rPr>
          <w:rFonts w:eastAsia="Times New Roman"/>
          <w:shd w:val="clear" w:color="auto" w:fill="FFFFFF"/>
        </w:rPr>
        <w:t>(g) At the hearing on such petition, the Court shall determine the stockholders who have complied with this section and who have become entitled to appraisal rights. The Court may require the stockholders who have demanded an appraisal for their shares and who hold stock represented by certificates to submit their certificates of stock to the Register in Chancery for notation thereon of the pendency of the appraisal proceedings; and if any stockholder fails to comply with such direction, the Court may dismiss the proceedings as to such stockholder. If immediately before the merger or consolidation the shares of the class or series of stock of the constituent corporation as to which appraisal rights are available were listed on a national securities exchange, the Court shall dismiss the proceedings as to all holders of such shares who are otherwise entitled to appraisal rights unless (1) the total number of shares entitled to appraisal exceeds 1% of the outstanding shares of the class or series eligible for appraisal, (2) the value of the consideration provided in the merger or consolidation for such total number of shares exceeds $1 million, or (3) the merger was approved pursuant to §253 or §267 of this title.</w:t>
      </w:r>
    </w:p>
    <w:p w:rsidR="000A653B" w:rsidRPr="000A653B" w:rsidRDefault="000A653B" w:rsidP="000A653B">
      <w:pPr>
        <w:rPr>
          <w:rFonts w:ascii="Times New Roman" w:eastAsia="Times New Roman" w:hAnsi="Times New Roman"/>
        </w:rPr>
      </w:pPr>
      <w:r w:rsidRPr="000A653B">
        <w:rPr>
          <w:rFonts w:eastAsia="Times New Roman"/>
          <w:shd w:val="clear" w:color="auto" w:fill="FFFFFF"/>
        </w:rPr>
        <w:t xml:space="preserve">(h) After the Court determines the stockholders entitled to an appraisal, the appraisal proceeding shall be conducted in accordance with the rules of the Court of Chancery, including any rules specifically governing appraisal proceedings. Through such proceeding the Court shall determine the fair value of the shares exclusive of any element of value arising from the accomplishment or expectation of the merger or consolidation, together with interest, if any, to be paid upon the amount determined to be the fair value. In determining such fair value, the Court shall </w:t>
      </w:r>
      <w:proofErr w:type="gramStart"/>
      <w:r w:rsidRPr="000A653B">
        <w:rPr>
          <w:rFonts w:eastAsia="Times New Roman"/>
          <w:shd w:val="clear" w:color="auto" w:fill="FFFFFF"/>
        </w:rPr>
        <w:t>take into account</w:t>
      </w:r>
      <w:proofErr w:type="gramEnd"/>
      <w:r w:rsidRPr="000A653B">
        <w:rPr>
          <w:rFonts w:eastAsia="Times New Roman"/>
          <w:shd w:val="clear" w:color="auto" w:fill="FFFFFF"/>
        </w:rPr>
        <w:t xml:space="preserve"> all relevant factors. Unless the Court in its discretion determines otherwise for good cause shown, and except as provided in this subsection, interest from the effective date of the merger through the date of payment of the judgment shall be compounded quarterly and shall accrue at 5% over the Federal Reserve discount rate (including any surcharge) as established from time to time during the period between the effective date of the merger and the date of payment of the judgment. At any time before the entry of judgment in the proceedings, the Surviving Corporation may pay to each stockholder entitled to appraisal an amount in cash, in which case interest shall accrue thereafter</w:t>
      </w:r>
      <w:r>
        <w:rPr>
          <w:rFonts w:ascii="Times New Roman" w:eastAsia="Times New Roman" w:hAnsi="Times New Roman"/>
        </w:rPr>
        <w:t xml:space="preserve"> </w:t>
      </w:r>
      <w:r>
        <w:rPr>
          <w:rFonts w:eastAsia="Times New Roman"/>
          <w:shd w:val="clear" w:color="auto" w:fill="FFFFFF"/>
        </w:rPr>
        <w:t>a</w:t>
      </w:r>
      <w:r w:rsidRPr="000A653B">
        <w:rPr>
          <w:rFonts w:eastAsia="Times New Roman"/>
          <w:shd w:val="clear" w:color="auto" w:fill="FFFFFF"/>
        </w:rPr>
        <w:t>s provided herein only upon the sum of (1) the difference, if any, between the amount so paid and the fair value of the shares as determined by the Court, and (2) interest theretofore accrued, unless paid at that time. Upon application by the surviving or resulting corporation or by any stockholder entitled to participate in the appraisal proceeding, the Court may, in its discretion, proceed to trial upon the appraisal prior to the final determination of the stockholders entitled to an appraisal. Any stockholder whose name appears on the list filed by the surviving or resulting corporation pursuant to subsection (f) of this section and who has submitted such stockholder’s certificates of stock to the Register in Chancery, if such is required, may participate fully in all proceedings until it is finally determined that such stockholder is not entitled to appraisal rights under this section.</w:t>
      </w:r>
    </w:p>
    <w:p w:rsidR="000A653B" w:rsidRPr="000A653B" w:rsidRDefault="000A653B" w:rsidP="000A653B">
      <w:pPr>
        <w:rPr>
          <w:rFonts w:ascii="Times New Roman" w:eastAsia="Times New Roman" w:hAnsi="Times New Roman"/>
        </w:rPr>
      </w:pPr>
      <w:r w:rsidRPr="000A653B">
        <w:rPr>
          <w:rFonts w:eastAsia="Times New Roman"/>
          <w:shd w:val="clear" w:color="auto" w:fill="FFFFFF"/>
        </w:rPr>
        <w:t>(</w:t>
      </w:r>
      <w:proofErr w:type="spellStart"/>
      <w:r w:rsidRPr="000A653B">
        <w:rPr>
          <w:rFonts w:eastAsia="Times New Roman"/>
          <w:shd w:val="clear" w:color="auto" w:fill="FFFFFF"/>
        </w:rPr>
        <w:t>i</w:t>
      </w:r>
      <w:proofErr w:type="spellEnd"/>
      <w:r w:rsidRPr="000A653B">
        <w:rPr>
          <w:rFonts w:eastAsia="Times New Roman"/>
          <w:shd w:val="clear" w:color="auto" w:fill="FFFFFF"/>
        </w:rPr>
        <w:t>) The Court shall direct the payment of the fair value of the shares, together with interest, if any, by the surviving or resulting corporation to the stockholders entitled thereto. Payment shall be so made to each such stockholder, in the case of holders of uncertificated stock forthwith, and the case of holders of shares represented by certificates upon the surrender to the corporation of the certificates representing such stock. The Court’s decree may be enforced as other decrees in the Court of Chancery may be enforced, whether such surviving or resulting corporation be a corporation of this State or of any state.</w:t>
      </w:r>
    </w:p>
    <w:p w:rsidR="000A653B" w:rsidRPr="000A653B" w:rsidRDefault="000A653B" w:rsidP="000A653B">
      <w:pPr>
        <w:rPr>
          <w:rFonts w:ascii="Times New Roman" w:eastAsia="Times New Roman" w:hAnsi="Times New Roman"/>
        </w:rPr>
      </w:pPr>
      <w:r w:rsidRPr="000A653B">
        <w:rPr>
          <w:rFonts w:eastAsia="Times New Roman"/>
          <w:shd w:val="clear" w:color="auto" w:fill="FFFFFF"/>
        </w:rPr>
        <w:t>(j) The costs of the proceeding may be determined by the Court and taxed upon the parties as the Court deems equitable in the circumstances. Upon application of a stockholder, the Court may order all or a portion of the expenses incurred by any stockholder in connection with the appraisal proceeding, including, without limitation, reasonable attorney’s fees and the fees and expenses of experts, to be charged pro rata against the value of all the shares entitled to an appraisal.</w:t>
      </w:r>
    </w:p>
    <w:p w:rsidR="000A653B" w:rsidRPr="000A653B" w:rsidRDefault="000A653B" w:rsidP="000A653B">
      <w:pPr>
        <w:rPr>
          <w:rFonts w:ascii="Times New Roman" w:eastAsia="Times New Roman" w:hAnsi="Times New Roman"/>
        </w:rPr>
      </w:pPr>
      <w:r w:rsidRPr="000A653B">
        <w:rPr>
          <w:rFonts w:eastAsia="Times New Roman"/>
          <w:shd w:val="clear" w:color="auto" w:fill="FFFFFF"/>
        </w:rPr>
        <w:t>(k) From and after the effective date of the merger or consolidation, No stockholder who has demanded appraisal rights as provided in subsection (d) of this section shall be entitled to vote such stock for any purpose or to receive payment of dividends or other distributions on the stock (except dividends or other distributions payable to stockholders of record at a date which is prior to the effective date of the merger or consolidation); provided, however, that if No petition for an appraisal shall be filed within the time provided in subsection (e) of this section, or if such stockholder shall deliver to the surviving or resulting corporation a written withdrawal of such stockholder’s demand for an appraisal and an acceptance of the merger or consolidation, either within 60 days after the effective date of the merger or consolidation as provided in subsection (e) of this section or thereafter with the written approval of the corporation, then the right of such stockholder to an appraisal shall cease. Notwithstanding the foregoing, No appraisal proceeding in the Court of Chancery shall be dismissed as to any stockholder without the approval of the Court, and such approval may be conditioned upon such terms as the Court deems just; provided, however that this provision shall not affect the right of any stockholder who has not commenced an appraisal proceeding or joined that proceeding as a named party to withdraw such stockholder’s demand for appraisal and to accept the terms offered upon the merger or consolidation within 60 days after the effective date of the merger or consolidation, as set forth in subsection (e) of this section.</w:t>
      </w:r>
    </w:p>
    <w:p w:rsidR="000A653B" w:rsidRPr="000A653B" w:rsidRDefault="000A653B" w:rsidP="000A653B">
      <w:pPr>
        <w:rPr>
          <w:rFonts w:ascii="Times New Roman" w:eastAsia="Times New Roman" w:hAnsi="Times New Roman"/>
        </w:rPr>
      </w:pPr>
      <w:r w:rsidRPr="000A653B">
        <w:rPr>
          <w:rFonts w:eastAsia="Times New Roman"/>
          <w:shd w:val="clear" w:color="auto" w:fill="FFFFFF"/>
        </w:rPr>
        <w:t>(l) The shares of the surviving or resulting corporation to which the shares of such objecting stockholders would have been converted had they assented to the merger or consolidation shall have the status of authorized and unissued shares of the surviving or resulting corporation.</w:t>
      </w:r>
    </w:p>
    <w:p w:rsidR="000A653B" w:rsidRDefault="000A653B"/>
    <w:sectPr w:rsidR="000A6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3B"/>
    <w:rsid w:val="00084661"/>
    <w:rsid w:val="000A653B"/>
    <w:rsid w:val="004D1995"/>
    <w:rsid w:val="005B34C7"/>
    <w:rsid w:val="005E43A9"/>
    <w:rsid w:val="00A43A3C"/>
    <w:rsid w:val="00AB0ADC"/>
    <w:rsid w:val="00BE0CC9"/>
    <w:rsid w:val="00F0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5CD6"/>
  <w15:chartTrackingRefBased/>
  <w15:docId w15:val="{1F3E0F9C-BB07-47EB-BD05-6DE03556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09221">
      <w:bodyDiv w:val="1"/>
      <w:marLeft w:val="0"/>
      <w:marRight w:val="0"/>
      <w:marTop w:val="0"/>
      <w:marBottom w:val="0"/>
      <w:divBdr>
        <w:top w:val="none" w:sz="0" w:space="0" w:color="auto"/>
        <w:left w:val="none" w:sz="0" w:space="0" w:color="auto"/>
        <w:bottom w:val="none" w:sz="0" w:space="0" w:color="auto"/>
        <w:right w:val="none" w:sz="0" w:space="0" w:color="auto"/>
      </w:divBdr>
      <w:divsChild>
        <w:div w:id="709300910">
          <w:marLeft w:val="0"/>
          <w:marRight w:val="0"/>
          <w:marTop w:val="0"/>
          <w:marBottom w:val="0"/>
          <w:divBdr>
            <w:top w:val="single" w:sz="8" w:space="18" w:color="000000"/>
            <w:left w:val="single" w:sz="8" w:space="18" w:color="000000"/>
            <w:bottom w:val="single" w:sz="8" w:space="0" w:color="000000"/>
            <w:right w:val="single" w:sz="8" w:space="18" w:color="000000"/>
          </w:divBdr>
        </w:div>
        <w:div w:id="559481224">
          <w:marLeft w:val="0"/>
          <w:marRight w:val="0"/>
          <w:marTop w:val="0"/>
          <w:marBottom w:val="0"/>
          <w:divBdr>
            <w:top w:val="none" w:sz="0" w:space="0" w:color="auto"/>
            <w:left w:val="none" w:sz="0" w:space="0" w:color="auto"/>
            <w:bottom w:val="none" w:sz="0" w:space="0" w:color="auto"/>
            <w:right w:val="none" w:sz="0" w:space="0" w:color="auto"/>
          </w:divBdr>
        </w:div>
        <w:div w:id="1381637953">
          <w:marLeft w:val="0"/>
          <w:marRight w:val="0"/>
          <w:marTop w:val="0"/>
          <w:marBottom w:val="0"/>
          <w:divBdr>
            <w:top w:val="none" w:sz="0" w:space="0" w:color="auto"/>
            <w:left w:val="none" w:sz="0" w:space="0" w:color="auto"/>
            <w:bottom w:val="none" w:sz="0" w:space="0" w:color="auto"/>
            <w:right w:val="none" w:sz="0" w:space="0" w:color="auto"/>
          </w:divBdr>
        </w:div>
        <w:div w:id="178466836">
          <w:marLeft w:val="0"/>
          <w:marRight w:val="0"/>
          <w:marTop w:val="0"/>
          <w:marBottom w:val="0"/>
          <w:divBdr>
            <w:top w:val="none" w:sz="0" w:space="0" w:color="auto"/>
            <w:left w:val="none" w:sz="0" w:space="0" w:color="auto"/>
            <w:bottom w:val="none" w:sz="0" w:space="0" w:color="auto"/>
            <w:right w:val="none" w:sz="0" w:space="0" w:color="auto"/>
          </w:divBdr>
        </w:div>
        <w:div w:id="2137093446">
          <w:marLeft w:val="0"/>
          <w:marRight w:val="0"/>
          <w:marTop w:val="0"/>
          <w:marBottom w:val="0"/>
          <w:divBdr>
            <w:top w:val="none" w:sz="0" w:space="0" w:color="auto"/>
            <w:left w:val="none" w:sz="0" w:space="0" w:color="auto"/>
            <w:bottom w:val="none" w:sz="0" w:space="0" w:color="auto"/>
            <w:right w:val="none" w:sz="0" w:space="0" w:color="auto"/>
          </w:divBdr>
        </w:div>
        <w:div w:id="962152560">
          <w:marLeft w:val="0"/>
          <w:marRight w:val="0"/>
          <w:marTop w:val="0"/>
          <w:marBottom w:val="0"/>
          <w:divBdr>
            <w:top w:val="single" w:sz="8" w:space="18" w:color="000000"/>
            <w:left w:val="single" w:sz="8" w:space="18" w:color="000000"/>
            <w:bottom w:val="single" w:sz="8" w:space="0" w:color="000000"/>
            <w:right w:val="single" w:sz="8" w:space="18" w:color="000000"/>
          </w:divBdr>
        </w:div>
      </w:divsChild>
    </w:div>
    <w:div w:id="1462193004">
      <w:bodyDiv w:val="1"/>
      <w:marLeft w:val="0"/>
      <w:marRight w:val="0"/>
      <w:marTop w:val="0"/>
      <w:marBottom w:val="0"/>
      <w:divBdr>
        <w:top w:val="none" w:sz="0" w:space="0" w:color="auto"/>
        <w:left w:val="none" w:sz="0" w:space="0" w:color="auto"/>
        <w:bottom w:val="none" w:sz="0" w:space="0" w:color="auto"/>
        <w:right w:val="none" w:sz="0" w:space="0" w:color="auto"/>
      </w:divBdr>
      <w:divsChild>
        <w:div w:id="2054234911">
          <w:marLeft w:val="0"/>
          <w:marRight w:val="0"/>
          <w:marTop w:val="0"/>
          <w:marBottom w:val="0"/>
          <w:divBdr>
            <w:top w:val="none" w:sz="0" w:space="0" w:color="auto"/>
            <w:left w:val="none" w:sz="0" w:space="0" w:color="auto"/>
            <w:bottom w:val="none" w:sz="0" w:space="0" w:color="auto"/>
            <w:right w:val="none" w:sz="0" w:space="0" w:color="auto"/>
          </w:divBdr>
        </w:div>
        <w:div w:id="2037195250">
          <w:marLeft w:val="0"/>
          <w:marRight w:val="0"/>
          <w:marTop w:val="0"/>
          <w:marBottom w:val="0"/>
          <w:divBdr>
            <w:top w:val="none" w:sz="0" w:space="0" w:color="auto"/>
            <w:left w:val="none" w:sz="0" w:space="0" w:color="auto"/>
            <w:bottom w:val="none" w:sz="0" w:space="0" w:color="auto"/>
            <w:right w:val="none" w:sz="0" w:space="0" w:color="auto"/>
          </w:divBdr>
        </w:div>
        <w:div w:id="1309047252">
          <w:marLeft w:val="0"/>
          <w:marRight w:val="0"/>
          <w:marTop w:val="0"/>
          <w:marBottom w:val="0"/>
          <w:divBdr>
            <w:top w:val="none" w:sz="0" w:space="0" w:color="auto"/>
            <w:left w:val="none" w:sz="0" w:space="0" w:color="auto"/>
            <w:bottom w:val="none" w:sz="0" w:space="0" w:color="auto"/>
            <w:right w:val="none" w:sz="0" w:space="0" w:color="auto"/>
          </w:divBdr>
        </w:div>
        <w:div w:id="1513103294">
          <w:marLeft w:val="0"/>
          <w:marRight w:val="0"/>
          <w:marTop w:val="0"/>
          <w:marBottom w:val="0"/>
          <w:divBdr>
            <w:top w:val="none" w:sz="0" w:space="0" w:color="auto"/>
            <w:left w:val="none" w:sz="0" w:space="0" w:color="auto"/>
            <w:bottom w:val="none" w:sz="0" w:space="0" w:color="auto"/>
            <w:right w:val="none" w:sz="0" w:space="0" w:color="auto"/>
          </w:divBdr>
        </w:div>
        <w:div w:id="1516921338">
          <w:marLeft w:val="0"/>
          <w:marRight w:val="0"/>
          <w:marTop w:val="0"/>
          <w:marBottom w:val="0"/>
          <w:divBdr>
            <w:top w:val="none" w:sz="0" w:space="0" w:color="auto"/>
            <w:left w:val="none" w:sz="0" w:space="0" w:color="auto"/>
            <w:bottom w:val="none" w:sz="0" w:space="0" w:color="auto"/>
            <w:right w:val="none" w:sz="0" w:space="0" w:color="auto"/>
          </w:divBdr>
        </w:div>
        <w:div w:id="1640766862">
          <w:marLeft w:val="0"/>
          <w:marRight w:val="0"/>
          <w:marTop w:val="0"/>
          <w:marBottom w:val="0"/>
          <w:divBdr>
            <w:top w:val="none" w:sz="0" w:space="0" w:color="auto"/>
            <w:left w:val="none" w:sz="0" w:space="0" w:color="auto"/>
            <w:bottom w:val="none" w:sz="0" w:space="0" w:color="auto"/>
            <w:right w:val="none" w:sz="0" w:space="0" w:color="auto"/>
          </w:divBdr>
        </w:div>
        <w:div w:id="1470053716">
          <w:marLeft w:val="0"/>
          <w:marRight w:val="0"/>
          <w:marTop w:val="0"/>
          <w:marBottom w:val="0"/>
          <w:divBdr>
            <w:top w:val="none" w:sz="0" w:space="0" w:color="auto"/>
            <w:left w:val="none" w:sz="0" w:space="0" w:color="auto"/>
            <w:bottom w:val="none" w:sz="0" w:space="0" w:color="auto"/>
            <w:right w:val="none" w:sz="0" w:space="0" w:color="auto"/>
          </w:divBdr>
        </w:div>
        <w:div w:id="1307127520">
          <w:marLeft w:val="0"/>
          <w:marRight w:val="0"/>
          <w:marTop w:val="0"/>
          <w:marBottom w:val="0"/>
          <w:divBdr>
            <w:top w:val="none" w:sz="0" w:space="0" w:color="auto"/>
            <w:left w:val="none" w:sz="0" w:space="0" w:color="auto"/>
            <w:bottom w:val="none" w:sz="0" w:space="0" w:color="auto"/>
            <w:right w:val="none" w:sz="0" w:space="0" w:color="auto"/>
          </w:divBdr>
        </w:div>
        <w:div w:id="1519419310">
          <w:marLeft w:val="0"/>
          <w:marRight w:val="0"/>
          <w:marTop w:val="0"/>
          <w:marBottom w:val="0"/>
          <w:divBdr>
            <w:top w:val="none" w:sz="0" w:space="0" w:color="auto"/>
            <w:left w:val="none" w:sz="0" w:space="0" w:color="auto"/>
            <w:bottom w:val="none" w:sz="0" w:space="0" w:color="auto"/>
            <w:right w:val="none" w:sz="0" w:space="0" w:color="auto"/>
          </w:divBdr>
        </w:div>
        <w:div w:id="1718817598">
          <w:marLeft w:val="0"/>
          <w:marRight w:val="0"/>
          <w:marTop w:val="0"/>
          <w:marBottom w:val="0"/>
          <w:divBdr>
            <w:top w:val="none" w:sz="0" w:space="0" w:color="auto"/>
            <w:left w:val="none" w:sz="0" w:space="0" w:color="auto"/>
            <w:bottom w:val="none" w:sz="0" w:space="0" w:color="auto"/>
            <w:right w:val="none" w:sz="0" w:space="0" w:color="auto"/>
          </w:divBdr>
        </w:div>
        <w:div w:id="867450904">
          <w:marLeft w:val="0"/>
          <w:marRight w:val="0"/>
          <w:marTop w:val="0"/>
          <w:marBottom w:val="0"/>
          <w:divBdr>
            <w:top w:val="none" w:sz="0" w:space="0" w:color="auto"/>
            <w:left w:val="none" w:sz="0" w:space="0" w:color="auto"/>
            <w:bottom w:val="none" w:sz="0" w:space="0" w:color="auto"/>
            <w:right w:val="none" w:sz="0" w:space="0" w:color="auto"/>
          </w:divBdr>
        </w:div>
        <w:div w:id="1621112518">
          <w:marLeft w:val="0"/>
          <w:marRight w:val="0"/>
          <w:marTop w:val="0"/>
          <w:marBottom w:val="0"/>
          <w:divBdr>
            <w:top w:val="none" w:sz="0" w:space="0" w:color="auto"/>
            <w:left w:val="none" w:sz="0" w:space="0" w:color="auto"/>
            <w:bottom w:val="none" w:sz="0" w:space="0" w:color="auto"/>
            <w:right w:val="none" w:sz="0" w:space="0" w:color="auto"/>
          </w:divBdr>
        </w:div>
      </w:divsChild>
    </w:div>
    <w:div w:id="2099711256">
      <w:bodyDiv w:val="1"/>
      <w:marLeft w:val="0"/>
      <w:marRight w:val="0"/>
      <w:marTop w:val="0"/>
      <w:marBottom w:val="0"/>
      <w:divBdr>
        <w:top w:val="none" w:sz="0" w:space="0" w:color="auto"/>
        <w:left w:val="none" w:sz="0" w:space="0" w:color="auto"/>
        <w:bottom w:val="none" w:sz="0" w:space="0" w:color="auto"/>
        <w:right w:val="none" w:sz="0" w:space="0" w:color="auto"/>
      </w:divBdr>
      <w:divsChild>
        <w:div w:id="462232443">
          <w:marLeft w:val="0"/>
          <w:marRight w:val="0"/>
          <w:marTop w:val="0"/>
          <w:marBottom w:val="0"/>
          <w:divBdr>
            <w:top w:val="none" w:sz="0" w:space="0" w:color="auto"/>
            <w:left w:val="none" w:sz="0" w:space="0" w:color="auto"/>
            <w:bottom w:val="none" w:sz="0" w:space="0" w:color="auto"/>
            <w:right w:val="none" w:sz="0" w:space="0" w:color="auto"/>
          </w:divBdr>
        </w:div>
        <w:div w:id="1269510319">
          <w:marLeft w:val="0"/>
          <w:marRight w:val="0"/>
          <w:marTop w:val="0"/>
          <w:marBottom w:val="0"/>
          <w:divBdr>
            <w:top w:val="none" w:sz="0" w:space="0" w:color="auto"/>
            <w:left w:val="none" w:sz="0" w:space="0" w:color="auto"/>
            <w:bottom w:val="none" w:sz="0" w:space="0" w:color="auto"/>
            <w:right w:val="none" w:sz="0" w:space="0" w:color="auto"/>
          </w:divBdr>
        </w:div>
        <w:div w:id="1225068747">
          <w:marLeft w:val="0"/>
          <w:marRight w:val="0"/>
          <w:marTop w:val="0"/>
          <w:marBottom w:val="0"/>
          <w:divBdr>
            <w:top w:val="none" w:sz="0" w:space="0" w:color="auto"/>
            <w:left w:val="none" w:sz="0" w:space="0" w:color="auto"/>
            <w:bottom w:val="none" w:sz="0" w:space="0" w:color="auto"/>
            <w:right w:val="none" w:sz="0" w:space="0" w:color="auto"/>
          </w:divBdr>
        </w:div>
        <w:div w:id="1402681199">
          <w:marLeft w:val="0"/>
          <w:marRight w:val="0"/>
          <w:marTop w:val="0"/>
          <w:marBottom w:val="0"/>
          <w:divBdr>
            <w:top w:val="none" w:sz="0" w:space="0" w:color="auto"/>
            <w:left w:val="none" w:sz="0" w:space="0" w:color="auto"/>
            <w:bottom w:val="none" w:sz="0" w:space="0" w:color="auto"/>
            <w:right w:val="none" w:sz="0" w:space="0" w:color="auto"/>
          </w:divBdr>
        </w:div>
        <w:div w:id="1005786350">
          <w:marLeft w:val="0"/>
          <w:marRight w:val="0"/>
          <w:marTop w:val="0"/>
          <w:marBottom w:val="0"/>
          <w:divBdr>
            <w:top w:val="none" w:sz="0" w:space="0" w:color="auto"/>
            <w:left w:val="none" w:sz="0" w:space="0" w:color="auto"/>
            <w:bottom w:val="none" w:sz="0" w:space="0" w:color="auto"/>
            <w:right w:val="none" w:sz="0" w:space="0" w:color="auto"/>
          </w:divBdr>
        </w:div>
        <w:div w:id="1603341074">
          <w:marLeft w:val="0"/>
          <w:marRight w:val="0"/>
          <w:marTop w:val="0"/>
          <w:marBottom w:val="0"/>
          <w:divBdr>
            <w:top w:val="none" w:sz="0" w:space="0" w:color="auto"/>
            <w:left w:val="none" w:sz="0" w:space="0" w:color="auto"/>
            <w:bottom w:val="none" w:sz="0" w:space="0" w:color="auto"/>
            <w:right w:val="none" w:sz="0" w:space="0" w:color="auto"/>
          </w:divBdr>
        </w:div>
        <w:div w:id="2123911876">
          <w:marLeft w:val="0"/>
          <w:marRight w:val="0"/>
          <w:marTop w:val="0"/>
          <w:marBottom w:val="0"/>
          <w:divBdr>
            <w:top w:val="none" w:sz="0" w:space="0" w:color="auto"/>
            <w:left w:val="none" w:sz="0" w:space="0" w:color="auto"/>
            <w:bottom w:val="none" w:sz="0" w:space="0" w:color="auto"/>
            <w:right w:val="none" w:sz="0" w:space="0" w:color="auto"/>
          </w:divBdr>
        </w:div>
        <w:div w:id="1033926231">
          <w:marLeft w:val="0"/>
          <w:marRight w:val="0"/>
          <w:marTop w:val="0"/>
          <w:marBottom w:val="0"/>
          <w:divBdr>
            <w:top w:val="none" w:sz="0" w:space="0" w:color="auto"/>
            <w:left w:val="none" w:sz="0" w:space="0" w:color="auto"/>
            <w:bottom w:val="none" w:sz="0" w:space="0" w:color="auto"/>
            <w:right w:val="none" w:sz="0" w:space="0" w:color="auto"/>
          </w:divBdr>
        </w:div>
        <w:div w:id="14036389">
          <w:marLeft w:val="0"/>
          <w:marRight w:val="0"/>
          <w:marTop w:val="0"/>
          <w:marBottom w:val="0"/>
          <w:divBdr>
            <w:top w:val="none" w:sz="0" w:space="0" w:color="auto"/>
            <w:left w:val="none" w:sz="0" w:space="0" w:color="auto"/>
            <w:bottom w:val="none" w:sz="0" w:space="0" w:color="auto"/>
            <w:right w:val="none" w:sz="0" w:space="0" w:color="auto"/>
          </w:divBdr>
        </w:div>
        <w:div w:id="615211761">
          <w:marLeft w:val="0"/>
          <w:marRight w:val="0"/>
          <w:marTop w:val="0"/>
          <w:marBottom w:val="0"/>
          <w:divBdr>
            <w:top w:val="none" w:sz="0" w:space="0" w:color="auto"/>
            <w:left w:val="none" w:sz="0" w:space="0" w:color="auto"/>
            <w:bottom w:val="none" w:sz="0" w:space="0" w:color="auto"/>
            <w:right w:val="none" w:sz="0" w:space="0" w:color="auto"/>
          </w:divBdr>
        </w:div>
        <w:div w:id="1446385422">
          <w:marLeft w:val="0"/>
          <w:marRight w:val="0"/>
          <w:marTop w:val="0"/>
          <w:marBottom w:val="0"/>
          <w:divBdr>
            <w:top w:val="none" w:sz="0" w:space="0" w:color="auto"/>
            <w:left w:val="none" w:sz="0" w:space="0" w:color="auto"/>
            <w:bottom w:val="none" w:sz="0" w:space="0" w:color="auto"/>
            <w:right w:val="none" w:sz="0" w:space="0" w:color="auto"/>
          </w:divBdr>
        </w:div>
        <w:div w:id="1921015920">
          <w:marLeft w:val="0"/>
          <w:marRight w:val="0"/>
          <w:marTop w:val="0"/>
          <w:marBottom w:val="0"/>
          <w:divBdr>
            <w:top w:val="none" w:sz="0" w:space="0" w:color="auto"/>
            <w:left w:val="none" w:sz="0" w:space="0" w:color="auto"/>
            <w:bottom w:val="none" w:sz="0" w:space="0" w:color="auto"/>
            <w:right w:val="none" w:sz="0" w:space="0" w:color="auto"/>
          </w:divBdr>
        </w:div>
        <w:div w:id="1532187724">
          <w:marLeft w:val="0"/>
          <w:marRight w:val="0"/>
          <w:marTop w:val="0"/>
          <w:marBottom w:val="0"/>
          <w:divBdr>
            <w:top w:val="none" w:sz="0" w:space="0" w:color="auto"/>
            <w:left w:val="none" w:sz="0" w:space="0" w:color="auto"/>
            <w:bottom w:val="none" w:sz="0" w:space="0" w:color="auto"/>
            <w:right w:val="none" w:sz="0" w:space="0" w:color="auto"/>
          </w:divBdr>
        </w:div>
        <w:div w:id="5643909">
          <w:marLeft w:val="0"/>
          <w:marRight w:val="0"/>
          <w:marTop w:val="0"/>
          <w:marBottom w:val="0"/>
          <w:divBdr>
            <w:top w:val="none" w:sz="0" w:space="0" w:color="auto"/>
            <w:left w:val="none" w:sz="0" w:space="0" w:color="auto"/>
            <w:bottom w:val="none" w:sz="0" w:space="0" w:color="auto"/>
            <w:right w:val="none" w:sz="0" w:space="0" w:color="auto"/>
          </w:divBdr>
        </w:div>
        <w:div w:id="1469513973">
          <w:marLeft w:val="0"/>
          <w:marRight w:val="0"/>
          <w:marTop w:val="0"/>
          <w:marBottom w:val="0"/>
          <w:divBdr>
            <w:top w:val="none" w:sz="0" w:space="0" w:color="auto"/>
            <w:left w:val="none" w:sz="0" w:space="0" w:color="auto"/>
            <w:bottom w:val="none" w:sz="0" w:space="0" w:color="auto"/>
            <w:right w:val="none" w:sz="0" w:space="0" w:color="auto"/>
          </w:divBdr>
        </w:div>
        <w:div w:id="1319113613">
          <w:marLeft w:val="0"/>
          <w:marRight w:val="0"/>
          <w:marTop w:val="0"/>
          <w:marBottom w:val="0"/>
          <w:divBdr>
            <w:top w:val="none" w:sz="0" w:space="0" w:color="auto"/>
            <w:left w:val="none" w:sz="0" w:space="0" w:color="auto"/>
            <w:bottom w:val="none" w:sz="0" w:space="0" w:color="auto"/>
            <w:right w:val="none" w:sz="0" w:space="0" w:color="auto"/>
          </w:divBdr>
        </w:div>
        <w:div w:id="572593392">
          <w:marLeft w:val="0"/>
          <w:marRight w:val="0"/>
          <w:marTop w:val="0"/>
          <w:marBottom w:val="0"/>
          <w:divBdr>
            <w:top w:val="none" w:sz="0" w:space="0" w:color="auto"/>
            <w:left w:val="none" w:sz="0" w:space="0" w:color="auto"/>
            <w:bottom w:val="none" w:sz="0" w:space="0" w:color="auto"/>
            <w:right w:val="none" w:sz="0" w:space="0" w:color="auto"/>
          </w:divBdr>
        </w:div>
        <w:div w:id="1214777939">
          <w:marLeft w:val="0"/>
          <w:marRight w:val="0"/>
          <w:marTop w:val="0"/>
          <w:marBottom w:val="0"/>
          <w:divBdr>
            <w:top w:val="none" w:sz="0" w:space="0" w:color="auto"/>
            <w:left w:val="none" w:sz="0" w:space="0" w:color="auto"/>
            <w:bottom w:val="none" w:sz="0" w:space="0" w:color="auto"/>
            <w:right w:val="none" w:sz="0" w:space="0" w:color="auto"/>
          </w:divBdr>
        </w:div>
        <w:div w:id="282542339">
          <w:marLeft w:val="0"/>
          <w:marRight w:val="0"/>
          <w:marTop w:val="0"/>
          <w:marBottom w:val="0"/>
          <w:divBdr>
            <w:top w:val="none" w:sz="0" w:space="0" w:color="auto"/>
            <w:left w:val="none" w:sz="0" w:space="0" w:color="auto"/>
            <w:bottom w:val="none" w:sz="0" w:space="0" w:color="auto"/>
            <w:right w:val="none" w:sz="0" w:space="0" w:color="auto"/>
          </w:divBdr>
        </w:div>
        <w:div w:id="464199265">
          <w:marLeft w:val="0"/>
          <w:marRight w:val="0"/>
          <w:marTop w:val="0"/>
          <w:marBottom w:val="0"/>
          <w:divBdr>
            <w:top w:val="none" w:sz="0" w:space="0" w:color="auto"/>
            <w:left w:val="none" w:sz="0" w:space="0" w:color="auto"/>
            <w:bottom w:val="none" w:sz="0" w:space="0" w:color="auto"/>
            <w:right w:val="none" w:sz="0" w:space="0" w:color="auto"/>
          </w:divBdr>
        </w:div>
        <w:div w:id="170148007">
          <w:marLeft w:val="0"/>
          <w:marRight w:val="0"/>
          <w:marTop w:val="0"/>
          <w:marBottom w:val="0"/>
          <w:divBdr>
            <w:top w:val="none" w:sz="0" w:space="0" w:color="auto"/>
            <w:left w:val="none" w:sz="0" w:space="0" w:color="auto"/>
            <w:bottom w:val="none" w:sz="0" w:space="0" w:color="auto"/>
            <w:right w:val="none" w:sz="0" w:space="0" w:color="auto"/>
          </w:divBdr>
        </w:div>
        <w:div w:id="1769688784">
          <w:marLeft w:val="0"/>
          <w:marRight w:val="0"/>
          <w:marTop w:val="0"/>
          <w:marBottom w:val="0"/>
          <w:divBdr>
            <w:top w:val="none" w:sz="0" w:space="0" w:color="auto"/>
            <w:left w:val="none" w:sz="0" w:space="0" w:color="auto"/>
            <w:bottom w:val="none" w:sz="0" w:space="0" w:color="auto"/>
            <w:right w:val="none" w:sz="0" w:space="0" w:color="auto"/>
          </w:divBdr>
        </w:div>
        <w:div w:id="313991733">
          <w:marLeft w:val="0"/>
          <w:marRight w:val="0"/>
          <w:marTop w:val="0"/>
          <w:marBottom w:val="0"/>
          <w:divBdr>
            <w:top w:val="none" w:sz="0" w:space="0" w:color="auto"/>
            <w:left w:val="none" w:sz="0" w:space="0" w:color="auto"/>
            <w:bottom w:val="none" w:sz="0" w:space="0" w:color="auto"/>
            <w:right w:val="none" w:sz="0" w:space="0" w:color="auto"/>
          </w:divBdr>
        </w:div>
        <w:div w:id="1336497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8029</Words>
  <Characters>45771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53693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Quinn</dc:creator>
  <cp:keywords/>
  <dc:description/>
  <cp:lastModifiedBy>Brian Quinn</cp:lastModifiedBy>
  <cp:revision>3</cp:revision>
  <dcterms:created xsi:type="dcterms:W3CDTF">2022-06-06T17:22:00Z</dcterms:created>
  <dcterms:modified xsi:type="dcterms:W3CDTF">2022-06-06T19:09:00Z</dcterms:modified>
</cp:coreProperties>
</file>